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F814" w14:textId="29924724" w:rsidR="00360004" w:rsidRDefault="001676F0" w:rsidP="001676F0">
      <w:pPr>
        <w:rPr>
          <w:rFonts w:asciiTheme="majorHAnsi" w:hAnsiTheme="majorHAnsi"/>
          <w:b/>
        </w:rPr>
      </w:pPr>
      <w:r>
        <w:rPr>
          <w:rFonts w:asciiTheme="majorHAnsi" w:hAnsiTheme="majorHAnsi"/>
          <w:b/>
        </w:rPr>
        <w:t xml:space="preserve">   </w:t>
      </w:r>
      <w:r w:rsidR="00BB2A6F" w:rsidRPr="001676F0">
        <w:rPr>
          <w:rFonts w:asciiTheme="majorHAnsi" w:hAnsiTheme="majorHAnsi"/>
          <w:b/>
        </w:rPr>
        <w:t xml:space="preserve">   </w:t>
      </w:r>
      <w:r w:rsidR="005F05BB" w:rsidRPr="00D11C31">
        <w:rPr>
          <w:rFonts w:asciiTheme="majorHAnsi" w:hAnsiTheme="majorHAnsi"/>
          <w:b/>
        </w:rPr>
        <w:t>Ίδρυση</w:t>
      </w:r>
      <w:r w:rsidR="00D93AA1">
        <w:rPr>
          <w:rFonts w:asciiTheme="majorHAnsi" w:hAnsiTheme="majorHAnsi"/>
          <w:b/>
        </w:rPr>
        <w:t xml:space="preserve"> του Μεταπτυχιακού Προγράμματος «Μαθηματικά και Εφαρμογές»</w:t>
      </w:r>
    </w:p>
    <w:p w14:paraId="2C4B1F6B" w14:textId="77777777" w:rsidR="004C7997" w:rsidRPr="00D11C31" w:rsidRDefault="004C7997" w:rsidP="005F05BB">
      <w:pPr>
        <w:jc w:val="center"/>
        <w:rPr>
          <w:rFonts w:asciiTheme="majorHAnsi" w:hAnsiTheme="majorHAnsi"/>
        </w:rPr>
      </w:pPr>
    </w:p>
    <w:p w14:paraId="366710E0" w14:textId="77777777" w:rsidR="00BC36EE" w:rsidRPr="00D11C31" w:rsidRDefault="00BC36EE" w:rsidP="004845AA">
      <w:pPr>
        <w:jc w:val="center"/>
        <w:rPr>
          <w:rFonts w:asciiTheme="majorHAnsi" w:hAnsiTheme="majorHAnsi"/>
          <w:b/>
        </w:rPr>
      </w:pPr>
      <w:r w:rsidRPr="00D11C31">
        <w:rPr>
          <w:rFonts w:asciiTheme="majorHAnsi" w:hAnsiTheme="majorHAnsi"/>
          <w:b/>
        </w:rPr>
        <w:t xml:space="preserve">Μελέτη σκοπιμότητας </w:t>
      </w:r>
    </w:p>
    <w:p w14:paraId="2AFF33B9" w14:textId="77777777" w:rsidR="00BC36EE" w:rsidRPr="00D11C31" w:rsidRDefault="00BC36EE">
      <w:pPr>
        <w:rPr>
          <w:rFonts w:asciiTheme="majorHAnsi" w:hAnsiTheme="majorHAnsi"/>
          <w:b/>
        </w:rPr>
      </w:pPr>
      <w:r w:rsidRPr="00D11C31">
        <w:rPr>
          <w:rFonts w:asciiTheme="majorHAnsi" w:hAnsiTheme="majorHAnsi"/>
          <w:b/>
        </w:rPr>
        <w:t>Περιεχόμενα</w:t>
      </w:r>
    </w:p>
    <w:p w14:paraId="1B700B96" w14:textId="77777777" w:rsidR="00361A70" w:rsidRPr="00D11C31" w:rsidRDefault="00361A70">
      <w:pPr>
        <w:rPr>
          <w:rFonts w:asciiTheme="majorHAnsi" w:hAnsiTheme="majorHAnsi"/>
          <w:b/>
        </w:rPr>
      </w:pPr>
    </w:p>
    <w:p w14:paraId="347948FE" w14:textId="0936CD5A" w:rsidR="005F05BB" w:rsidRPr="00D11C31" w:rsidRDefault="005F05BB">
      <w:pPr>
        <w:rPr>
          <w:rFonts w:asciiTheme="majorHAnsi" w:eastAsia="Times New Roman" w:hAnsiTheme="majorHAnsi"/>
          <w:b/>
          <w:sz w:val="20"/>
          <w:szCs w:val="20"/>
        </w:rPr>
      </w:pPr>
      <w:r w:rsidRPr="00D11C31">
        <w:rPr>
          <w:rFonts w:asciiTheme="majorHAnsi" w:eastAsia="Times New Roman" w:hAnsiTheme="majorHAnsi"/>
          <w:b/>
          <w:sz w:val="20"/>
          <w:szCs w:val="20"/>
        </w:rPr>
        <w:t xml:space="preserve">Α. Αναγκαιότητα και σπουδαιότητα λειτουργίας του </w:t>
      </w:r>
      <w:bookmarkStart w:id="0" w:name="_Hlk74045448"/>
      <w:r w:rsidRPr="00D11C31">
        <w:rPr>
          <w:rFonts w:asciiTheme="majorHAnsi" w:eastAsia="Times New Roman" w:hAnsiTheme="majorHAnsi"/>
          <w:b/>
          <w:sz w:val="20"/>
          <w:szCs w:val="20"/>
        </w:rPr>
        <w:t>Π</w:t>
      </w:r>
      <w:r w:rsidR="00C72D81">
        <w:rPr>
          <w:rFonts w:asciiTheme="majorHAnsi" w:eastAsia="Times New Roman" w:hAnsiTheme="majorHAnsi"/>
          <w:b/>
          <w:sz w:val="20"/>
          <w:szCs w:val="20"/>
        </w:rPr>
        <w:t>.</w:t>
      </w:r>
      <w:r w:rsidRPr="00D11C31">
        <w:rPr>
          <w:rFonts w:asciiTheme="majorHAnsi" w:eastAsia="Times New Roman" w:hAnsiTheme="majorHAnsi"/>
          <w:b/>
          <w:sz w:val="20"/>
          <w:szCs w:val="20"/>
        </w:rPr>
        <w:t>Μ</w:t>
      </w:r>
      <w:r w:rsidR="00C72D81">
        <w:rPr>
          <w:rFonts w:asciiTheme="majorHAnsi" w:eastAsia="Times New Roman" w:hAnsiTheme="majorHAnsi"/>
          <w:b/>
          <w:sz w:val="20"/>
          <w:szCs w:val="20"/>
        </w:rPr>
        <w:t>.</w:t>
      </w:r>
      <w:r w:rsidRPr="00D11C31">
        <w:rPr>
          <w:rFonts w:asciiTheme="majorHAnsi" w:eastAsia="Times New Roman" w:hAnsiTheme="majorHAnsi"/>
          <w:b/>
          <w:sz w:val="20"/>
          <w:szCs w:val="20"/>
        </w:rPr>
        <w:t>Σ</w:t>
      </w:r>
      <w:r w:rsidR="00C72D81">
        <w:rPr>
          <w:rFonts w:asciiTheme="majorHAnsi" w:eastAsia="Times New Roman" w:hAnsiTheme="majorHAnsi"/>
          <w:b/>
          <w:sz w:val="20"/>
          <w:szCs w:val="20"/>
        </w:rPr>
        <w:t>.</w:t>
      </w:r>
      <w:bookmarkEnd w:id="0"/>
    </w:p>
    <w:p w14:paraId="11536651" w14:textId="725A0783" w:rsidR="00C72D81" w:rsidRDefault="009873C5" w:rsidP="00EF05FF">
      <w:pPr>
        <w:pStyle w:val="ListParagraph"/>
        <w:numPr>
          <w:ilvl w:val="0"/>
          <w:numId w:val="1"/>
        </w:numPr>
        <w:rPr>
          <w:rFonts w:asciiTheme="majorHAnsi" w:eastAsia="Times New Roman" w:hAnsiTheme="majorHAnsi"/>
          <w:i/>
          <w:sz w:val="20"/>
          <w:szCs w:val="20"/>
        </w:rPr>
      </w:pPr>
      <w:r w:rsidRPr="004C7997">
        <w:rPr>
          <w:rFonts w:asciiTheme="majorHAnsi" w:eastAsia="Times New Roman" w:hAnsiTheme="majorHAnsi"/>
          <w:i/>
          <w:sz w:val="20"/>
          <w:szCs w:val="20"/>
        </w:rPr>
        <w:t>Επιστημονικοί</w:t>
      </w:r>
      <w:r w:rsidR="00C72D81">
        <w:rPr>
          <w:rFonts w:asciiTheme="majorHAnsi" w:eastAsia="Times New Roman" w:hAnsiTheme="majorHAnsi"/>
          <w:i/>
          <w:sz w:val="20"/>
          <w:szCs w:val="20"/>
        </w:rPr>
        <w:t xml:space="preserve"> λόγοι</w:t>
      </w:r>
    </w:p>
    <w:p w14:paraId="02DF1B1D" w14:textId="59504A66" w:rsidR="00452865" w:rsidRPr="00452865" w:rsidRDefault="00452865" w:rsidP="00452865">
      <w:pPr>
        <w:ind w:left="360"/>
        <w:jc w:val="both"/>
        <w:rPr>
          <w:rFonts w:asciiTheme="majorHAnsi" w:eastAsia="Times New Roman" w:hAnsiTheme="majorHAnsi"/>
          <w:sz w:val="20"/>
          <w:szCs w:val="20"/>
        </w:rPr>
      </w:pPr>
      <w:r>
        <w:rPr>
          <w:rFonts w:asciiTheme="majorHAnsi" w:eastAsia="Times New Roman" w:hAnsiTheme="majorHAnsi"/>
          <w:sz w:val="20"/>
          <w:szCs w:val="20"/>
        </w:rPr>
        <w:t>Η επιστημονική γνώση, ειδικότερα στις μέρες μας όπου η τεχνολογία τρέχ</w:t>
      </w:r>
      <w:r w:rsidR="004C215A">
        <w:rPr>
          <w:rFonts w:asciiTheme="majorHAnsi" w:eastAsia="Times New Roman" w:hAnsiTheme="majorHAnsi"/>
          <w:sz w:val="20"/>
          <w:szCs w:val="20"/>
        </w:rPr>
        <w:t>ει με ασύλληπτους ρυθμούς, απαιτεί</w:t>
      </w:r>
      <w:r>
        <w:rPr>
          <w:rFonts w:asciiTheme="majorHAnsi" w:eastAsia="Times New Roman" w:hAnsiTheme="majorHAnsi"/>
          <w:sz w:val="20"/>
          <w:szCs w:val="20"/>
        </w:rPr>
        <w:t xml:space="preserve"> συγκεκριμένη</w:t>
      </w:r>
      <w:r w:rsidR="004C215A">
        <w:rPr>
          <w:rFonts w:asciiTheme="majorHAnsi" w:eastAsia="Times New Roman" w:hAnsiTheme="majorHAnsi"/>
          <w:sz w:val="20"/>
          <w:szCs w:val="20"/>
        </w:rPr>
        <w:t>ς</w:t>
      </w:r>
      <w:r>
        <w:rPr>
          <w:rFonts w:asciiTheme="majorHAnsi" w:eastAsia="Times New Roman" w:hAnsiTheme="majorHAnsi"/>
          <w:sz w:val="20"/>
          <w:szCs w:val="20"/>
        </w:rPr>
        <w:t xml:space="preserve"> προσέγγιση</w:t>
      </w:r>
      <w:r w:rsidR="004C215A">
        <w:rPr>
          <w:rFonts w:asciiTheme="majorHAnsi" w:eastAsia="Times New Roman" w:hAnsiTheme="majorHAnsi"/>
          <w:sz w:val="20"/>
          <w:szCs w:val="20"/>
        </w:rPr>
        <w:t>ς</w:t>
      </w:r>
      <w:r>
        <w:rPr>
          <w:rFonts w:asciiTheme="majorHAnsi" w:eastAsia="Times New Roman" w:hAnsiTheme="majorHAnsi"/>
          <w:sz w:val="20"/>
          <w:szCs w:val="20"/>
        </w:rPr>
        <w:t xml:space="preserve"> και </w:t>
      </w:r>
      <w:r w:rsidR="00244239">
        <w:rPr>
          <w:rFonts w:asciiTheme="majorHAnsi" w:eastAsia="Times New Roman" w:hAnsiTheme="majorHAnsi"/>
          <w:sz w:val="20"/>
          <w:szCs w:val="20"/>
        </w:rPr>
        <w:t xml:space="preserve">περαιτέρω </w:t>
      </w:r>
      <w:r>
        <w:rPr>
          <w:rFonts w:asciiTheme="majorHAnsi" w:eastAsia="Times New Roman" w:hAnsiTheme="majorHAnsi"/>
          <w:sz w:val="20"/>
          <w:szCs w:val="20"/>
        </w:rPr>
        <w:t>ενίσχυση</w:t>
      </w:r>
      <w:r w:rsidR="004C215A">
        <w:rPr>
          <w:rFonts w:asciiTheme="majorHAnsi" w:eastAsia="Times New Roman" w:hAnsiTheme="majorHAnsi"/>
          <w:sz w:val="20"/>
          <w:szCs w:val="20"/>
        </w:rPr>
        <w:t>ς</w:t>
      </w:r>
      <w:r>
        <w:rPr>
          <w:rFonts w:asciiTheme="majorHAnsi" w:eastAsia="Times New Roman" w:hAnsiTheme="majorHAnsi"/>
          <w:sz w:val="20"/>
          <w:szCs w:val="20"/>
        </w:rPr>
        <w:t xml:space="preserve">. Η προπτυχιακή κατάρτιση, αν και αρτιότερη από ποτέ, αδυνατεί να καλύψει πλήθος θεωρητικών και πρακτικών εφαρμογών της </w:t>
      </w:r>
      <w:r w:rsidR="009A207A">
        <w:rPr>
          <w:rFonts w:asciiTheme="majorHAnsi" w:eastAsia="Times New Roman" w:hAnsiTheme="majorHAnsi"/>
          <w:sz w:val="20"/>
          <w:szCs w:val="20"/>
        </w:rPr>
        <w:t xml:space="preserve">Μαθηματικής </w:t>
      </w:r>
      <w:r>
        <w:rPr>
          <w:rFonts w:asciiTheme="majorHAnsi" w:eastAsia="Times New Roman" w:hAnsiTheme="majorHAnsi"/>
          <w:sz w:val="20"/>
          <w:szCs w:val="20"/>
        </w:rPr>
        <w:t>επιστήμης</w:t>
      </w:r>
      <w:r w:rsidR="004C215A">
        <w:rPr>
          <w:rFonts w:asciiTheme="majorHAnsi" w:eastAsia="Times New Roman" w:hAnsiTheme="majorHAnsi"/>
          <w:sz w:val="20"/>
          <w:szCs w:val="20"/>
        </w:rPr>
        <w:t>, αναγκαίες των ημερών ώστε κάποιος να είναι ανταγωνιστικός</w:t>
      </w:r>
      <w:r>
        <w:rPr>
          <w:rFonts w:asciiTheme="majorHAnsi" w:eastAsia="Times New Roman" w:hAnsiTheme="majorHAnsi"/>
          <w:sz w:val="20"/>
          <w:szCs w:val="20"/>
        </w:rPr>
        <w:t xml:space="preserve">. Το </w:t>
      </w:r>
      <w:r w:rsidR="009A207A">
        <w:rPr>
          <w:rFonts w:asciiTheme="majorHAnsi" w:eastAsia="Times New Roman" w:hAnsiTheme="majorHAnsi"/>
          <w:sz w:val="20"/>
          <w:szCs w:val="20"/>
        </w:rPr>
        <w:t xml:space="preserve">νέο </w:t>
      </w:r>
      <w:r>
        <w:rPr>
          <w:rFonts w:asciiTheme="majorHAnsi" w:eastAsia="Times New Roman" w:hAnsiTheme="majorHAnsi"/>
          <w:sz w:val="20"/>
          <w:szCs w:val="20"/>
        </w:rPr>
        <w:t>Π</w:t>
      </w:r>
      <w:r w:rsidR="00C66E91">
        <w:rPr>
          <w:rFonts w:asciiTheme="majorHAnsi" w:eastAsia="Times New Roman" w:hAnsiTheme="majorHAnsi"/>
          <w:sz w:val="20"/>
          <w:szCs w:val="20"/>
        </w:rPr>
        <w:t>.</w:t>
      </w:r>
      <w:r>
        <w:rPr>
          <w:rFonts w:asciiTheme="majorHAnsi" w:eastAsia="Times New Roman" w:hAnsiTheme="majorHAnsi"/>
          <w:sz w:val="20"/>
          <w:szCs w:val="20"/>
        </w:rPr>
        <w:t>Μ</w:t>
      </w:r>
      <w:r w:rsidR="00C66E91">
        <w:rPr>
          <w:rFonts w:asciiTheme="majorHAnsi" w:eastAsia="Times New Roman" w:hAnsiTheme="majorHAnsi"/>
          <w:sz w:val="20"/>
          <w:szCs w:val="20"/>
        </w:rPr>
        <w:t>.</w:t>
      </w:r>
      <w:r>
        <w:rPr>
          <w:rFonts w:asciiTheme="majorHAnsi" w:eastAsia="Times New Roman" w:hAnsiTheme="majorHAnsi"/>
          <w:sz w:val="20"/>
          <w:szCs w:val="20"/>
        </w:rPr>
        <w:t>Σ</w:t>
      </w:r>
      <w:r w:rsidR="00C66E91">
        <w:rPr>
          <w:rFonts w:asciiTheme="majorHAnsi" w:eastAsia="Times New Roman" w:hAnsiTheme="majorHAnsi"/>
          <w:sz w:val="20"/>
          <w:szCs w:val="20"/>
        </w:rPr>
        <w:t>.</w:t>
      </w:r>
      <w:r w:rsidR="009A207A">
        <w:rPr>
          <w:rFonts w:asciiTheme="majorHAnsi" w:eastAsia="Times New Roman" w:hAnsiTheme="majorHAnsi"/>
          <w:sz w:val="20"/>
          <w:szCs w:val="20"/>
        </w:rPr>
        <w:t xml:space="preserve"> με τίτλο «Μαθηματικά και Εφαρμογές»</w:t>
      </w:r>
      <w:r>
        <w:rPr>
          <w:rFonts w:asciiTheme="majorHAnsi" w:eastAsia="Times New Roman" w:hAnsiTheme="majorHAnsi"/>
          <w:sz w:val="20"/>
          <w:szCs w:val="20"/>
        </w:rPr>
        <w:t xml:space="preserve"> έρχεται </w:t>
      </w:r>
      <w:r w:rsidR="004C215A">
        <w:rPr>
          <w:rFonts w:asciiTheme="majorHAnsi" w:eastAsia="Times New Roman" w:hAnsiTheme="majorHAnsi"/>
          <w:sz w:val="20"/>
          <w:szCs w:val="20"/>
        </w:rPr>
        <w:t>να συμβάλλει στο να καλύψει</w:t>
      </w:r>
      <w:r>
        <w:rPr>
          <w:rFonts w:asciiTheme="majorHAnsi" w:eastAsia="Times New Roman" w:hAnsiTheme="majorHAnsi"/>
          <w:sz w:val="20"/>
          <w:szCs w:val="20"/>
        </w:rPr>
        <w:t xml:space="preserve"> την απόσταση μεταξύ γνώσης πτυχίου </w:t>
      </w:r>
      <w:r w:rsidR="004C215A">
        <w:rPr>
          <w:rFonts w:asciiTheme="majorHAnsi" w:eastAsia="Times New Roman" w:hAnsiTheme="majorHAnsi"/>
          <w:sz w:val="20"/>
          <w:szCs w:val="20"/>
        </w:rPr>
        <w:t>και ακαδημαϊκής καριέρας, πρακτική γνώση και εργασία σε εταιρείες, αλλά και, για όσους ακολουθήσουν καριέρα στην δευτεροβάθμια εκπαίδευση, να προσφέρει αρτιότερη κατάρτιση.</w:t>
      </w:r>
      <w:r>
        <w:rPr>
          <w:rFonts w:asciiTheme="majorHAnsi" w:eastAsia="Times New Roman" w:hAnsiTheme="majorHAnsi"/>
          <w:sz w:val="20"/>
          <w:szCs w:val="20"/>
        </w:rPr>
        <w:t xml:space="preserve"> </w:t>
      </w:r>
    </w:p>
    <w:p w14:paraId="2BF20766" w14:textId="338A74C7" w:rsidR="00BC36EE" w:rsidRDefault="005F05BB" w:rsidP="004C7997">
      <w:pPr>
        <w:pStyle w:val="ListParagraph"/>
        <w:numPr>
          <w:ilvl w:val="0"/>
          <w:numId w:val="1"/>
        </w:numPr>
        <w:rPr>
          <w:rFonts w:asciiTheme="majorHAnsi" w:eastAsia="Times New Roman" w:hAnsiTheme="majorHAnsi"/>
          <w:i/>
          <w:sz w:val="20"/>
          <w:szCs w:val="20"/>
        </w:rPr>
      </w:pPr>
      <w:r w:rsidRPr="004C7997">
        <w:rPr>
          <w:rFonts w:asciiTheme="majorHAnsi" w:eastAsia="Times New Roman" w:hAnsiTheme="majorHAnsi"/>
          <w:i/>
          <w:sz w:val="20"/>
          <w:szCs w:val="20"/>
        </w:rPr>
        <w:t>Κ</w:t>
      </w:r>
      <w:r w:rsidR="00BC36EE" w:rsidRPr="004C7997">
        <w:rPr>
          <w:rFonts w:asciiTheme="majorHAnsi" w:eastAsia="Times New Roman" w:hAnsiTheme="majorHAnsi"/>
          <w:i/>
          <w:sz w:val="20"/>
          <w:szCs w:val="20"/>
        </w:rPr>
        <w:t xml:space="preserve">οινωνικοί λόγοι </w:t>
      </w:r>
    </w:p>
    <w:p w14:paraId="61AEB6E1" w14:textId="0F287943" w:rsidR="00452865" w:rsidRPr="00452865" w:rsidRDefault="000673C9" w:rsidP="004C215A">
      <w:pPr>
        <w:ind w:left="360"/>
        <w:jc w:val="both"/>
        <w:rPr>
          <w:rFonts w:asciiTheme="majorHAnsi" w:eastAsia="Times New Roman" w:hAnsiTheme="majorHAnsi"/>
          <w:sz w:val="20"/>
          <w:szCs w:val="20"/>
        </w:rPr>
      </w:pPr>
      <w:r>
        <w:rPr>
          <w:rFonts w:asciiTheme="majorHAnsi" w:eastAsia="Times New Roman" w:hAnsiTheme="majorHAnsi"/>
          <w:sz w:val="20"/>
          <w:szCs w:val="20"/>
        </w:rPr>
        <w:t>Ανέκαθεν, η απόκτηση ενός πτυχίου τριτοβάθμιας εκπαίδευσης αποτελούσε όχι μόνο χαρακτηρισμό ιδιότητας αλλά και σημαντικό παράγοντα καθησυχασμού</w:t>
      </w:r>
      <w:r w:rsidR="00E61A53">
        <w:rPr>
          <w:rFonts w:asciiTheme="majorHAnsi" w:eastAsia="Times New Roman" w:hAnsiTheme="majorHAnsi"/>
          <w:sz w:val="20"/>
          <w:szCs w:val="20"/>
        </w:rPr>
        <w:t xml:space="preserve"> (ως προς την επαγγελματική του αποκατάσταση)</w:t>
      </w:r>
      <w:r>
        <w:rPr>
          <w:rFonts w:asciiTheme="majorHAnsi" w:eastAsia="Times New Roman" w:hAnsiTheme="majorHAnsi"/>
          <w:sz w:val="20"/>
          <w:szCs w:val="20"/>
        </w:rPr>
        <w:t xml:space="preserve"> για το μέλλον του εκάστοτε κατόχου. Την σήμερον ημέρα όμως, η ανεξέλεγκτη ανάπτυξη της τεχνολογίας, η συνεχής ανάγκη, σε πολλές περιπτώσεις απόλυτης, εξειδίκευσης, καθιστούν τα προαναφερθέντα </w:t>
      </w:r>
      <w:r w:rsidR="00EA294B">
        <w:rPr>
          <w:rFonts w:asciiTheme="majorHAnsi" w:eastAsia="Times New Roman" w:hAnsiTheme="majorHAnsi"/>
          <w:sz w:val="20"/>
          <w:szCs w:val="20"/>
        </w:rPr>
        <w:t xml:space="preserve">πτυχία «φτωχά» και, σε πλήθος περιπτώσεων, υποδεέστερα των περιστάσεων. Αυτό φυσικά οδηγεί σε κοινωνικοοικονομικά προβλήματα, σε απαξίωση ικανοτήτων και προσωπικοτήτων, τα οποία εν τέλει συμβάλουν σε κοινωνική απαξίωση. Ένας εκ των </w:t>
      </w:r>
      <w:r w:rsidR="00DE0853">
        <w:rPr>
          <w:rFonts w:asciiTheme="majorHAnsi" w:eastAsia="Times New Roman" w:hAnsiTheme="majorHAnsi"/>
          <w:sz w:val="20"/>
          <w:szCs w:val="20"/>
        </w:rPr>
        <w:t>σπουδαιότερών</w:t>
      </w:r>
      <w:r w:rsidR="00EA294B">
        <w:rPr>
          <w:rFonts w:asciiTheme="majorHAnsi" w:eastAsia="Times New Roman" w:hAnsiTheme="majorHAnsi"/>
          <w:sz w:val="20"/>
          <w:szCs w:val="20"/>
        </w:rPr>
        <w:t xml:space="preserve"> παραγόντων αποφυγής καταστάσεων </w:t>
      </w:r>
      <w:r w:rsidR="00EA294B">
        <w:rPr>
          <w:rFonts w:asciiTheme="majorHAnsi" w:eastAsia="Times New Roman" w:hAnsiTheme="majorHAnsi"/>
          <w:sz w:val="20"/>
          <w:szCs w:val="20"/>
        </w:rPr>
        <w:lastRenderedPageBreak/>
        <w:t>όπως η τελευταία, είναι και η ύπαρξη προγραμμάτων όπως το Π</w:t>
      </w:r>
      <w:r w:rsidR="00C66E91">
        <w:rPr>
          <w:rFonts w:asciiTheme="majorHAnsi" w:eastAsia="Times New Roman" w:hAnsiTheme="majorHAnsi"/>
          <w:sz w:val="20"/>
          <w:szCs w:val="20"/>
        </w:rPr>
        <w:t>.</w:t>
      </w:r>
      <w:r w:rsidR="00EA294B">
        <w:rPr>
          <w:rFonts w:asciiTheme="majorHAnsi" w:eastAsia="Times New Roman" w:hAnsiTheme="majorHAnsi"/>
          <w:sz w:val="20"/>
          <w:szCs w:val="20"/>
        </w:rPr>
        <w:t>Μ</w:t>
      </w:r>
      <w:r w:rsidR="00C66E91">
        <w:rPr>
          <w:rFonts w:asciiTheme="majorHAnsi" w:eastAsia="Times New Roman" w:hAnsiTheme="majorHAnsi"/>
          <w:sz w:val="20"/>
          <w:szCs w:val="20"/>
        </w:rPr>
        <w:t>.</w:t>
      </w:r>
      <w:r w:rsidR="00EA294B">
        <w:rPr>
          <w:rFonts w:asciiTheme="majorHAnsi" w:eastAsia="Times New Roman" w:hAnsiTheme="majorHAnsi"/>
          <w:sz w:val="20"/>
          <w:szCs w:val="20"/>
        </w:rPr>
        <w:t>Σ</w:t>
      </w:r>
      <w:r w:rsidR="00C66E91">
        <w:rPr>
          <w:rFonts w:asciiTheme="majorHAnsi" w:eastAsia="Times New Roman" w:hAnsiTheme="majorHAnsi"/>
          <w:sz w:val="20"/>
          <w:szCs w:val="20"/>
        </w:rPr>
        <w:t>.</w:t>
      </w:r>
      <w:r w:rsidR="00EA294B">
        <w:rPr>
          <w:rFonts w:asciiTheme="majorHAnsi" w:eastAsia="Times New Roman" w:hAnsiTheme="majorHAnsi"/>
          <w:sz w:val="20"/>
          <w:szCs w:val="20"/>
        </w:rPr>
        <w:t xml:space="preserve"> του</w:t>
      </w:r>
      <w:r w:rsidR="00DE0853">
        <w:rPr>
          <w:rFonts w:asciiTheme="majorHAnsi" w:eastAsia="Times New Roman" w:hAnsiTheme="majorHAnsi"/>
          <w:sz w:val="20"/>
          <w:szCs w:val="20"/>
        </w:rPr>
        <w:t xml:space="preserve"> Τμήματος Μαθηματικών του</w:t>
      </w:r>
      <w:r w:rsidR="00EA294B">
        <w:rPr>
          <w:rFonts w:asciiTheme="majorHAnsi" w:eastAsia="Times New Roman" w:hAnsiTheme="majorHAnsi"/>
          <w:sz w:val="20"/>
          <w:szCs w:val="20"/>
        </w:rPr>
        <w:t xml:space="preserve"> ΑΠΘ, που καλείτε να καλύψει τα κενά που έχουν αναπόφευκτα δημιουργηθεί μέσω της εξέλιξης της καθημερινότητας, και κατ’ επέκτασιν της κοινωνίας.</w:t>
      </w:r>
    </w:p>
    <w:p w14:paraId="65BCB305" w14:textId="6B648704" w:rsidR="006B396B" w:rsidRDefault="006B396B" w:rsidP="004C7997">
      <w:pPr>
        <w:pStyle w:val="ListParagraph"/>
        <w:numPr>
          <w:ilvl w:val="0"/>
          <w:numId w:val="1"/>
        </w:numPr>
        <w:rPr>
          <w:rFonts w:asciiTheme="majorHAnsi" w:eastAsia="Times New Roman" w:hAnsiTheme="majorHAnsi"/>
          <w:i/>
          <w:sz w:val="20"/>
          <w:szCs w:val="20"/>
        </w:rPr>
      </w:pPr>
      <w:r>
        <w:rPr>
          <w:rFonts w:asciiTheme="majorHAnsi" w:eastAsia="Times New Roman" w:hAnsiTheme="majorHAnsi"/>
          <w:i/>
          <w:sz w:val="20"/>
          <w:szCs w:val="20"/>
        </w:rPr>
        <w:t>Στόχοι</w:t>
      </w:r>
    </w:p>
    <w:p w14:paraId="0A9C96CC" w14:textId="0C6E241A" w:rsidR="00053633" w:rsidRPr="00053633" w:rsidRDefault="00053633" w:rsidP="00053633">
      <w:pPr>
        <w:ind w:left="360"/>
        <w:jc w:val="both"/>
        <w:rPr>
          <w:rFonts w:asciiTheme="majorHAnsi" w:eastAsia="Times New Roman" w:hAnsiTheme="majorHAnsi"/>
          <w:sz w:val="20"/>
          <w:szCs w:val="20"/>
        </w:rPr>
      </w:pPr>
      <w:r>
        <w:rPr>
          <w:rFonts w:asciiTheme="majorHAnsi" w:eastAsia="Times New Roman" w:hAnsiTheme="majorHAnsi"/>
          <w:sz w:val="20"/>
          <w:szCs w:val="20"/>
        </w:rPr>
        <w:t>Κύριο στόχο του Π</w:t>
      </w:r>
      <w:r w:rsidR="00C66E91">
        <w:rPr>
          <w:rFonts w:asciiTheme="majorHAnsi" w:eastAsia="Times New Roman" w:hAnsiTheme="majorHAnsi"/>
          <w:sz w:val="20"/>
          <w:szCs w:val="20"/>
        </w:rPr>
        <w:t>.</w:t>
      </w:r>
      <w:r>
        <w:rPr>
          <w:rFonts w:asciiTheme="majorHAnsi" w:eastAsia="Times New Roman" w:hAnsiTheme="majorHAnsi"/>
          <w:sz w:val="20"/>
          <w:szCs w:val="20"/>
        </w:rPr>
        <w:t>Μ</w:t>
      </w:r>
      <w:r w:rsidR="00C66E91">
        <w:rPr>
          <w:rFonts w:asciiTheme="majorHAnsi" w:eastAsia="Times New Roman" w:hAnsiTheme="majorHAnsi"/>
          <w:sz w:val="20"/>
          <w:szCs w:val="20"/>
        </w:rPr>
        <w:t>.</w:t>
      </w:r>
      <w:r>
        <w:rPr>
          <w:rFonts w:asciiTheme="majorHAnsi" w:eastAsia="Times New Roman" w:hAnsiTheme="majorHAnsi"/>
          <w:sz w:val="20"/>
          <w:szCs w:val="20"/>
        </w:rPr>
        <w:t>Σ</w:t>
      </w:r>
      <w:r w:rsidR="00C66E91">
        <w:rPr>
          <w:rFonts w:asciiTheme="majorHAnsi" w:eastAsia="Times New Roman" w:hAnsiTheme="majorHAnsi"/>
          <w:sz w:val="20"/>
          <w:szCs w:val="20"/>
        </w:rPr>
        <w:t>.</w:t>
      </w:r>
      <w:r w:rsidR="002815AA">
        <w:rPr>
          <w:rFonts w:asciiTheme="majorHAnsi" w:eastAsia="Times New Roman" w:hAnsiTheme="majorHAnsi"/>
          <w:sz w:val="20"/>
          <w:szCs w:val="20"/>
        </w:rPr>
        <w:t xml:space="preserve"> στα «Μαθηματικά και Εφαρμογές»</w:t>
      </w:r>
      <w:r>
        <w:rPr>
          <w:rFonts w:asciiTheme="majorHAnsi" w:eastAsia="Times New Roman" w:hAnsiTheme="majorHAnsi"/>
          <w:sz w:val="20"/>
          <w:szCs w:val="20"/>
        </w:rPr>
        <w:t xml:space="preserve"> αποτελεί η άριστη επιστημονική κατάρτιση των φοιτητών μας </w:t>
      </w:r>
      <w:r w:rsidRPr="00053633">
        <w:rPr>
          <w:rFonts w:asciiTheme="majorHAnsi" w:eastAsia="Times New Roman" w:hAnsiTheme="majorHAnsi"/>
          <w:sz w:val="20"/>
          <w:szCs w:val="20"/>
        </w:rPr>
        <w:t>ώστε οι τελευταίοι να</w:t>
      </w:r>
      <w:r>
        <w:rPr>
          <w:rFonts w:asciiTheme="majorHAnsi" w:eastAsia="Times New Roman" w:hAnsiTheme="majorHAnsi"/>
          <w:sz w:val="20"/>
          <w:szCs w:val="20"/>
        </w:rPr>
        <w:t xml:space="preserve"> μπορούν να</w:t>
      </w:r>
      <w:r w:rsidRPr="00053633">
        <w:rPr>
          <w:rFonts w:asciiTheme="majorHAnsi" w:eastAsia="Times New Roman" w:hAnsiTheme="majorHAnsi"/>
          <w:sz w:val="20"/>
          <w:szCs w:val="20"/>
        </w:rPr>
        <w:t xml:space="preserve"> συμμετάσχουν σε διάφορες δραστηριότητες (συνέδρια, επισκέψεις) προκειμένου να αρχίζουν να χτίζουν ένα σταθερό και επιτυχημένο ακαδημαϊκό προφίλ.</w:t>
      </w:r>
      <w:r>
        <w:rPr>
          <w:rFonts w:asciiTheme="majorHAnsi" w:eastAsia="Times New Roman" w:hAnsiTheme="majorHAnsi"/>
          <w:sz w:val="20"/>
          <w:szCs w:val="20"/>
        </w:rPr>
        <w:t xml:space="preserve"> Επίσης, λόγω της συνεχούς ανάγκης για απόκτηση συγκεκριμένων τεχνικών γνώσεων και προσόντων, προκειμένου όλοι οι απόφοιτοί μας </w:t>
      </w:r>
      <w:r w:rsidR="00452865">
        <w:rPr>
          <w:rFonts w:asciiTheme="majorHAnsi" w:eastAsia="Times New Roman" w:hAnsiTheme="majorHAnsi"/>
          <w:sz w:val="20"/>
          <w:szCs w:val="20"/>
        </w:rPr>
        <w:t>να είναι ικανοί</w:t>
      </w:r>
      <w:r>
        <w:rPr>
          <w:rFonts w:asciiTheme="majorHAnsi" w:eastAsia="Times New Roman" w:hAnsiTheme="majorHAnsi"/>
          <w:sz w:val="20"/>
          <w:szCs w:val="20"/>
        </w:rPr>
        <w:t xml:space="preserve"> να εργασθούν σε διάφορους τομείς της κοινωνίας (τράπεζες, εταιρείες που χρίζουν </w:t>
      </w:r>
      <w:r w:rsidR="00452865">
        <w:rPr>
          <w:rFonts w:asciiTheme="majorHAnsi" w:eastAsia="Times New Roman" w:hAnsiTheme="majorHAnsi"/>
          <w:sz w:val="20"/>
          <w:szCs w:val="20"/>
        </w:rPr>
        <w:t>υπαλλήλους με πρακτικές και θεωρητικές γνώσεις στους υπολογιστές,</w:t>
      </w:r>
      <w:r w:rsidR="002815AA">
        <w:rPr>
          <w:rFonts w:asciiTheme="majorHAnsi" w:eastAsia="Times New Roman" w:hAnsiTheme="majorHAnsi"/>
          <w:sz w:val="20"/>
          <w:szCs w:val="20"/>
        </w:rPr>
        <w:t xml:space="preserve"> τον προγραμματισμό,</w:t>
      </w:r>
      <w:r w:rsidR="007A536E">
        <w:rPr>
          <w:rFonts w:asciiTheme="majorHAnsi" w:eastAsia="Times New Roman" w:hAnsiTheme="majorHAnsi"/>
          <w:sz w:val="20"/>
          <w:szCs w:val="20"/>
        </w:rPr>
        <w:t xml:space="preserve"> τη στατιστική</w:t>
      </w:r>
      <w:r w:rsidR="00452865">
        <w:rPr>
          <w:rFonts w:asciiTheme="majorHAnsi" w:eastAsia="Times New Roman" w:hAnsiTheme="majorHAnsi"/>
          <w:sz w:val="20"/>
          <w:szCs w:val="20"/>
        </w:rPr>
        <w:t xml:space="preserve"> </w:t>
      </w:r>
      <w:proofErr w:type="spellStart"/>
      <w:r w:rsidR="00452865">
        <w:rPr>
          <w:rFonts w:asciiTheme="majorHAnsi" w:eastAsia="Times New Roman" w:hAnsiTheme="majorHAnsi"/>
          <w:sz w:val="20"/>
          <w:szCs w:val="20"/>
        </w:rPr>
        <w:t>κτλ</w:t>
      </w:r>
      <w:proofErr w:type="spellEnd"/>
      <w:r w:rsidR="00452865">
        <w:rPr>
          <w:rFonts w:asciiTheme="majorHAnsi" w:eastAsia="Times New Roman" w:hAnsiTheme="majorHAnsi"/>
          <w:sz w:val="20"/>
          <w:szCs w:val="20"/>
        </w:rPr>
        <w:t>), το Π</w:t>
      </w:r>
      <w:r w:rsidR="00C66E91">
        <w:rPr>
          <w:rFonts w:asciiTheme="majorHAnsi" w:eastAsia="Times New Roman" w:hAnsiTheme="majorHAnsi"/>
          <w:sz w:val="20"/>
          <w:szCs w:val="20"/>
        </w:rPr>
        <w:t>.</w:t>
      </w:r>
      <w:r w:rsidR="00452865">
        <w:rPr>
          <w:rFonts w:asciiTheme="majorHAnsi" w:eastAsia="Times New Roman" w:hAnsiTheme="majorHAnsi"/>
          <w:sz w:val="20"/>
          <w:szCs w:val="20"/>
        </w:rPr>
        <w:t>Μ</w:t>
      </w:r>
      <w:r w:rsidR="00C66E91">
        <w:rPr>
          <w:rFonts w:asciiTheme="majorHAnsi" w:eastAsia="Times New Roman" w:hAnsiTheme="majorHAnsi"/>
          <w:sz w:val="20"/>
          <w:szCs w:val="20"/>
        </w:rPr>
        <w:t>.</w:t>
      </w:r>
      <w:r w:rsidR="00452865">
        <w:rPr>
          <w:rFonts w:asciiTheme="majorHAnsi" w:eastAsia="Times New Roman" w:hAnsiTheme="majorHAnsi"/>
          <w:sz w:val="20"/>
          <w:szCs w:val="20"/>
        </w:rPr>
        <w:t>Σ</w:t>
      </w:r>
      <w:r w:rsidR="00C66E91">
        <w:rPr>
          <w:rFonts w:asciiTheme="majorHAnsi" w:eastAsia="Times New Roman" w:hAnsiTheme="majorHAnsi"/>
          <w:sz w:val="20"/>
          <w:szCs w:val="20"/>
        </w:rPr>
        <w:t>.</w:t>
      </w:r>
      <w:r w:rsidR="00452865">
        <w:rPr>
          <w:rFonts w:asciiTheme="majorHAnsi" w:eastAsia="Times New Roman" w:hAnsiTheme="majorHAnsi"/>
          <w:sz w:val="20"/>
          <w:szCs w:val="20"/>
        </w:rPr>
        <w:t xml:space="preserve"> δουλεύει προς την κατεύθυνση παροχής εφαρμογών της επιστήμης ώστε οι τελευταίοι να είναι σε θέση να μπορούν να παρακολουθήσουν προγράμματα επιμόρφωσης και σε ελάχιστους μήνες να είναι σε θέση να ανταπεξέλθουν στις εκάστοτε καταστάσεις και ανάγκες.</w:t>
      </w:r>
      <w:r w:rsidR="004C215A">
        <w:rPr>
          <w:rFonts w:asciiTheme="majorHAnsi" w:eastAsia="Times New Roman" w:hAnsiTheme="majorHAnsi"/>
          <w:sz w:val="20"/>
          <w:szCs w:val="20"/>
        </w:rPr>
        <w:t xml:space="preserve"> Τέλος, μιας και το Τμήμα μας παρέχει επί σειράν ετών διδασκάλους της δευτεροβάθμιας εκπαίδευσης, το Π</w:t>
      </w:r>
      <w:r w:rsidR="00C66E91">
        <w:rPr>
          <w:rFonts w:asciiTheme="majorHAnsi" w:eastAsia="Times New Roman" w:hAnsiTheme="majorHAnsi"/>
          <w:sz w:val="20"/>
          <w:szCs w:val="20"/>
        </w:rPr>
        <w:t>.</w:t>
      </w:r>
      <w:r w:rsidR="004C215A">
        <w:rPr>
          <w:rFonts w:asciiTheme="majorHAnsi" w:eastAsia="Times New Roman" w:hAnsiTheme="majorHAnsi"/>
          <w:sz w:val="20"/>
          <w:szCs w:val="20"/>
        </w:rPr>
        <w:t>Μ</w:t>
      </w:r>
      <w:r w:rsidR="00C66E91">
        <w:rPr>
          <w:rFonts w:asciiTheme="majorHAnsi" w:eastAsia="Times New Roman" w:hAnsiTheme="majorHAnsi"/>
          <w:sz w:val="20"/>
          <w:szCs w:val="20"/>
        </w:rPr>
        <w:t>.</w:t>
      </w:r>
      <w:r w:rsidR="004C215A">
        <w:rPr>
          <w:rFonts w:asciiTheme="majorHAnsi" w:eastAsia="Times New Roman" w:hAnsiTheme="majorHAnsi"/>
          <w:sz w:val="20"/>
          <w:szCs w:val="20"/>
        </w:rPr>
        <w:t>Σ</w:t>
      </w:r>
      <w:r w:rsidR="00C66E91">
        <w:rPr>
          <w:rFonts w:asciiTheme="majorHAnsi" w:eastAsia="Times New Roman" w:hAnsiTheme="majorHAnsi"/>
          <w:sz w:val="20"/>
          <w:szCs w:val="20"/>
        </w:rPr>
        <w:t>.</w:t>
      </w:r>
      <w:r w:rsidR="004C215A">
        <w:rPr>
          <w:rFonts w:asciiTheme="majorHAnsi" w:eastAsia="Times New Roman" w:hAnsiTheme="majorHAnsi"/>
          <w:sz w:val="20"/>
          <w:szCs w:val="20"/>
        </w:rPr>
        <w:t xml:space="preserve"> συμβάλλει στην αρτιότερη κατάρτισή των τελευταίων</w:t>
      </w:r>
      <w:r w:rsidR="002815AA">
        <w:rPr>
          <w:rFonts w:asciiTheme="majorHAnsi" w:eastAsia="Times New Roman" w:hAnsiTheme="majorHAnsi"/>
          <w:sz w:val="20"/>
          <w:szCs w:val="20"/>
        </w:rPr>
        <w:t xml:space="preserve"> μέσω της περαιτέρω εκπαίδευσης τους σε τομείς της Μαθηματικής Επιστήμης που έχουν άμεση σύνδεση με την εκπαίδευση γενικά</w:t>
      </w:r>
      <w:r w:rsidR="004C215A">
        <w:rPr>
          <w:rFonts w:asciiTheme="majorHAnsi" w:eastAsia="Times New Roman" w:hAnsiTheme="majorHAnsi"/>
          <w:sz w:val="20"/>
          <w:szCs w:val="20"/>
        </w:rPr>
        <w:t>.</w:t>
      </w:r>
    </w:p>
    <w:p w14:paraId="40DD16C0" w14:textId="77777777" w:rsidR="00053633" w:rsidRDefault="00053633" w:rsidP="00053633">
      <w:pPr>
        <w:pStyle w:val="ListParagraph"/>
        <w:rPr>
          <w:rFonts w:asciiTheme="majorHAnsi" w:eastAsia="Times New Roman" w:hAnsiTheme="majorHAnsi"/>
          <w:i/>
          <w:sz w:val="20"/>
          <w:szCs w:val="20"/>
        </w:rPr>
      </w:pPr>
    </w:p>
    <w:p w14:paraId="4B561C00" w14:textId="65D683DA" w:rsidR="006B396B" w:rsidRDefault="006B396B" w:rsidP="004C7997">
      <w:pPr>
        <w:pStyle w:val="ListParagraph"/>
        <w:numPr>
          <w:ilvl w:val="0"/>
          <w:numId w:val="1"/>
        </w:numPr>
        <w:rPr>
          <w:rFonts w:asciiTheme="majorHAnsi" w:eastAsia="Times New Roman" w:hAnsiTheme="majorHAnsi"/>
          <w:i/>
          <w:sz w:val="20"/>
          <w:szCs w:val="20"/>
        </w:rPr>
      </w:pPr>
      <w:r>
        <w:rPr>
          <w:rFonts w:asciiTheme="majorHAnsi" w:eastAsia="Times New Roman" w:hAnsiTheme="majorHAnsi"/>
          <w:i/>
          <w:sz w:val="20"/>
          <w:szCs w:val="20"/>
        </w:rPr>
        <w:t>Αποκτώμενα προσόντα</w:t>
      </w:r>
    </w:p>
    <w:p w14:paraId="718D3F06" w14:textId="0CA0508B" w:rsidR="00452865" w:rsidRDefault="005235C4" w:rsidP="005235C4">
      <w:pPr>
        <w:ind w:left="360"/>
        <w:jc w:val="both"/>
        <w:rPr>
          <w:rFonts w:asciiTheme="majorHAnsi" w:eastAsia="Times New Roman" w:hAnsiTheme="majorHAnsi"/>
          <w:sz w:val="20"/>
          <w:szCs w:val="20"/>
        </w:rPr>
      </w:pPr>
      <w:r w:rsidRPr="005235C4">
        <w:rPr>
          <w:rFonts w:asciiTheme="majorHAnsi" w:eastAsia="Times New Roman" w:hAnsiTheme="majorHAnsi"/>
          <w:sz w:val="20"/>
          <w:szCs w:val="20"/>
        </w:rPr>
        <w:t>Κύριος στόχος της δομής και της οργάνωσης του Π</w:t>
      </w:r>
      <w:r w:rsidR="00C66E91">
        <w:rPr>
          <w:rFonts w:asciiTheme="majorHAnsi" w:eastAsia="Times New Roman" w:hAnsiTheme="majorHAnsi"/>
          <w:sz w:val="20"/>
          <w:szCs w:val="20"/>
        </w:rPr>
        <w:t>.</w:t>
      </w:r>
      <w:r w:rsidRPr="005235C4">
        <w:rPr>
          <w:rFonts w:asciiTheme="majorHAnsi" w:eastAsia="Times New Roman" w:hAnsiTheme="majorHAnsi"/>
          <w:sz w:val="20"/>
          <w:szCs w:val="20"/>
        </w:rPr>
        <w:t>Μ</w:t>
      </w:r>
      <w:r w:rsidR="00C66E91">
        <w:rPr>
          <w:rFonts w:asciiTheme="majorHAnsi" w:eastAsia="Times New Roman" w:hAnsiTheme="majorHAnsi"/>
          <w:sz w:val="20"/>
          <w:szCs w:val="20"/>
        </w:rPr>
        <w:t>.</w:t>
      </w:r>
      <w:r w:rsidRPr="005235C4">
        <w:rPr>
          <w:rFonts w:asciiTheme="majorHAnsi" w:eastAsia="Times New Roman" w:hAnsiTheme="majorHAnsi"/>
          <w:sz w:val="20"/>
          <w:szCs w:val="20"/>
        </w:rPr>
        <w:t>Σ</w:t>
      </w:r>
      <w:r w:rsidR="00C66E91">
        <w:rPr>
          <w:rFonts w:asciiTheme="majorHAnsi" w:eastAsia="Times New Roman" w:hAnsiTheme="majorHAnsi"/>
          <w:sz w:val="20"/>
          <w:szCs w:val="20"/>
        </w:rPr>
        <w:t>.</w:t>
      </w:r>
      <w:r w:rsidR="0093301F">
        <w:rPr>
          <w:rFonts w:asciiTheme="majorHAnsi" w:eastAsia="Times New Roman" w:hAnsiTheme="majorHAnsi"/>
          <w:sz w:val="20"/>
          <w:szCs w:val="20"/>
        </w:rPr>
        <w:t xml:space="preserve"> «Μαθηματικά και Εφαρμογές»</w:t>
      </w:r>
      <w:r w:rsidRPr="005235C4">
        <w:rPr>
          <w:rFonts w:asciiTheme="majorHAnsi" w:eastAsia="Times New Roman" w:hAnsiTheme="majorHAnsi"/>
          <w:sz w:val="20"/>
          <w:szCs w:val="20"/>
        </w:rPr>
        <w:t xml:space="preserve"> είναι η όσο το δυνατόν ευρύτερη κάλυψη όλου του φάσματος της Μαθηματικής Επιστήμης τόσο στα Καθαρά όσο και στα Εφαρμ</w:t>
      </w:r>
      <w:r w:rsidR="00240BD1">
        <w:rPr>
          <w:rFonts w:asciiTheme="majorHAnsi" w:eastAsia="Times New Roman" w:hAnsiTheme="majorHAnsi"/>
          <w:sz w:val="20"/>
          <w:szCs w:val="20"/>
        </w:rPr>
        <w:t>οσμένα Μαθηματικά. Προσφέρονται</w:t>
      </w:r>
      <w:r w:rsidRPr="005235C4">
        <w:rPr>
          <w:rFonts w:asciiTheme="majorHAnsi" w:eastAsia="Times New Roman" w:hAnsiTheme="majorHAnsi"/>
          <w:sz w:val="20"/>
          <w:szCs w:val="20"/>
        </w:rPr>
        <w:t xml:space="preserve"> σύγχρονα μεταπτυχιακά μαθήματα υψηλού επιπέδου με σκοπό την εμβάθυνση των φοιτητών σε διάφορα γνωστικά (ερευνητικά) αντικείμενα. Ως συνέπεια, οι μεταπτυχιακοί φοιτητές έχουν την δυνατότητα να ασχοληθούν εντατικά με σύγχρονες πτυχές των Μαθηματικών. Αυτό συνδέεται με το υψηλό επίπεδο προσωπικού του Τμήματος Μαθηματικών του ΑΠΘ.</w:t>
      </w:r>
    </w:p>
    <w:p w14:paraId="007768BE" w14:textId="749AC3ED" w:rsidR="005235C4" w:rsidRPr="00240BD1" w:rsidRDefault="00240BD1" w:rsidP="00240BD1">
      <w:pPr>
        <w:ind w:left="360"/>
        <w:jc w:val="both"/>
        <w:rPr>
          <w:rFonts w:asciiTheme="majorHAnsi" w:eastAsia="Times New Roman" w:hAnsiTheme="majorHAnsi"/>
          <w:sz w:val="20"/>
          <w:szCs w:val="20"/>
        </w:rPr>
      </w:pPr>
      <w:r>
        <w:rPr>
          <w:rFonts w:asciiTheme="majorHAnsi" w:eastAsia="Times New Roman" w:hAnsiTheme="majorHAnsi"/>
          <w:sz w:val="20"/>
          <w:szCs w:val="20"/>
        </w:rPr>
        <w:lastRenderedPageBreak/>
        <w:t>Εκτός των θεωρητικών γνώσεων, οι</w:t>
      </w:r>
      <w:r w:rsidR="005235C4" w:rsidRPr="005235C4">
        <w:rPr>
          <w:rFonts w:asciiTheme="majorHAnsi" w:eastAsia="Times New Roman" w:hAnsiTheme="majorHAnsi"/>
          <w:sz w:val="20"/>
          <w:szCs w:val="20"/>
        </w:rPr>
        <w:t xml:space="preserve"> φοιτητές του Π.Μ.Σ. έχουν</w:t>
      </w:r>
      <w:r>
        <w:rPr>
          <w:rFonts w:asciiTheme="majorHAnsi" w:eastAsia="Times New Roman" w:hAnsiTheme="majorHAnsi"/>
          <w:sz w:val="20"/>
          <w:szCs w:val="20"/>
        </w:rPr>
        <w:t xml:space="preserve"> επίσης</w:t>
      </w:r>
      <w:r w:rsidR="005235C4" w:rsidRPr="005235C4">
        <w:rPr>
          <w:rFonts w:asciiTheme="majorHAnsi" w:eastAsia="Times New Roman" w:hAnsiTheme="majorHAnsi"/>
          <w:sz w:val="20"/>
          <w:szCs w:val="20"/>
        </w:rPr>
        <w:t xml:space="preserve"> δυνατότητα απόκτησης εργασιακής εμπειρίας</w:t>
      </w:r>
      <w:r>
        <w:rPr>
          <w:rFonts w:asciiTheme="majorHAnsi" w:eastAsia="Times New Roman" w:hAnsiTheme="majorHAnsi"/>
          <w:sz w:val="20"/>
          <w:szCs w:val="20"/>
        </w:rPr>
        <w:t xml:space="preserve"> εντός και εκτός της χώρας</w:t>
      </w:r>
      <w:r w:rsidR="005235C4" w:rsidRPr="005235C4">
        <w:rPr>
          <w:rFonts w:asciiTheme="majorHAnsi" w:eastAsia="Times New Roman" w:hAnsiTheme="majorHAnsi"/>
          <w:sz w:val="20"/>
          <w:szCs w:val="20"/>
        </w:rPr>
        <w:t>.  Λόγω του σύντομου κύκλου σπουδών (3 εξάμηνα)</w:t>
      </w:r>
      <w:r>
        <w:rPr>
          <w:rFonts w:asciiTheme="majorHAnsi" w:eastAsia="Times New Roman" w:hAnsiTheme="majorHAnsi"/>
          <w:sz w:val="20"/>
          <w:szCs w:val="20"/>
        </w:rPr>
        <w:t>,</w:t>
      </w:r>
      <w:r w:rsidR="005235C4" w:rsidRPr="005235C4">
        <w:rPr>
          <w:rFonts w:asciiTheme="majorHAnsi" w:eastAsia="Times New Roman" w:hAnsiTheme="majorHAnsi"/>
          <w:sz w:val="20"/>
          <w:szCs w:val="20"/>
        </w:rPr>
        <w:t xml:space="preserve"> </w:t>
      </w:r>
      <w:r>
        <w:rPr>
          <w:rFonts w:asciiTheme="majorHAnsi" w:eastAsia="Times New Roman" w:hAnsiTheme="majorHAnsi"/>
          <w:sz w:val="20"/>
          <w:szCs w:val="20"/>
        </w:rPr>
        <w:t xml:space="preserve">οι τελευταίοι </w:t>
      </w:r>
      <w:r w:rsidR="005235C4" w:rsidRPr="005235C4">
        <w:rPr>
          <w:rFonts w:asciiTheme="majorHAnsi" w:eastAsia="Times New Roman" w:hAnsiTheme="majorHAnsi"/>
          <w:sz w:val="20"/>
          <w:szCs w:val="20"/>
        </w:rPr>
        <w:t>ενθαρρύ</w:t>
      </w:r>
      <w:r>
        <w:rPr>
          <w:rFonts w:asciiTheme="majorHAnsi" w:eastAsia="Times New Roman" w:hAnsiTheme="majorHAnsi"/>
          <w:sz w:val="20"/>
          <w:szCs w:val="20"/>
        </w:rPr>
        <w:t>νονται</w:t>
      </w:r>
      <w:r w:rsidR="005235C4" w:rsidRPr="005235C4">
        <w:rPr>
          <w:rFonts w:asciiTheme="majorHAnsi" w:eastAsia="Times New Roman" w:hAnsiTheme="majorHAnsi"/>
          <w:sz w:val="20"/>
          <w:szCs w:val="20"/>
        </w:rPr>
        <w:t xml:space="preserve"> να περάσουν μέρος του 3ου εξαμήνου, δηλαδή κατά τη διάρκεια της συγγραφής της μεταπτυχιακής</w:t>
      </w:r>
      <w:r>
        <w:rPr>
          <w:rFonts w:asciiTheme="majorHAnsi" w:eastAsia="Times New Roman" w:hAnsiTheme="majorHAnsi"/>
          <w:sz w:val="20"/>
          <w:szCs w:val="20"/>
        </w:rPr>
        <w:t xml:space="preserve"> τους εργασίας</w:t>
      </w:r>
      <w:r w:rsidR="005235C4" w:rsidRPr="005235C4">
        <w:rPr>
          <w:rFonts w:asciiTheme="majorHAnsi" w:eastAsia="Times New Roman" w:hAnsiTheme="majorHAnsi"/>
          <w:sz w:val="20"/>
          <w:szCs w:val="20"/>
        </w:rPr>
        <w:t>, σε κάποιο άλλο Πανεπιστήμιο του εξωτερικού μέσω του</w:t>
      </w:r>
      <w:r>
        <w:rPr>
          <w:rFonts w:asciiTheme="majorHAnsi" w:eastAsia="Times New Roman" w:hAnsiTheme="majorHAnsi"/>
          <w:sz w:val="20"/>
          <w:szCs w:val="20"/>
        </w:rPr>
        <w:t xml:space="preserve"> πολλά υποσχόμενου και επιτυχημένου έως τώρα προγράμματος</w:t>
      </w:r>
      <w:r w:rsidR="005235C4" w:rsidRPr="005235C4">
        <w:rPr>
          <w:rFonts w:asciiTheme="majorHAnsi" w:eastAsia="Times New Roman" w:hAnsiTheme="majorHAnsi"/>
          <w:sz w:val="20"/>
          <w:szCs w:val="20"/>
        </w:rPr>
        <w:t xml:space="preserve"> </w:t>
      </w:r>
      <w:proofErr w:type="spellStart"/>
      <w:r w:rsidR="005235C4" w:rsidRPr="005235C4">
        <w:rPr>
          <w:rFonts w:asciiTheme="majorHAnsi" w:eastAsia="Times New Roman" w:hAnsiTheme="majorHAnsi"/>
          <w:sz w:val="20"/>
          <w:szCs w:val="20"/>
        </w:rPr>
        <w:t>Erasmus</w:t>
      </w:r>
      <w:proofErr w:type="spellEnd"/>
      <w:r w:rsidR="005235C4" w:rsidRPr="005235C4">
        <w:rPr>
          <w:rFonts w:asciiTheme="majorHAnsi" w:eastAsia="Times New Roman" w:hAnsiTheme="majorHAnsi"/>
          <w:sz w:val="20"/>
          <w:szCs w:val="20"/>
        </w:rPr>
        <w:t>+. Επίσης, να σημειώσουμε ότι το Π.Μ.Σ. δέχεται και σπουδαστές μερικής φοίτησης για εργαζόμενους φοιτητές [βλέπε</w:t>
      </w:r>
      <w:r w:rsidR="00EF200F">
        <w:rPr>
          <w:rFonts w:asciiTheme="majorHAnsi" w:eastAsia="Times New Roman" w:hAnsiTheme="majorHAnsi"/>
          <w:sz w:val="20"/>
          <w:szCs w:val="20"/>
        </w:rPr>
        <w:t xml:space="preserve"> σχετικό εδάφιο στον</w:t>
      </w:r>
      <w:r w:rsidR="005235C4" w:rsidRPr="005235C4">
        <w:rPr>
          <w:rFonts w:asciiTheme="majorHAnsi" w:eastAsia="Times New Roman" w:hAnsiTheme="majorHAnsi"/>
          <w:sz w:val="20"/>
          <w:szCs w:val="20"/>
        </w:rPr>
        <w:t xml:space="preserve"> Κα</w:t>
      </w:r>
      <w:r w:rsidR="00792FFA">
        <w:rPr>
          <w:rFonts w:asciiTheme="majorHAnsi" w:eastAsia="Times New Roman" w:hAnsiTheme="majorHAnsi"/>
          <w:sz w:val="20"/>
          <w:szCs w:val="20"/>
        </w:rPr>
        <w:t xml:space="preserve">νονισμό Λειτουργίας του Π.Μ.Σ.]. </w:t>
      </w:r>
      <w:r w:rsidR="005235C4" w:rsidRPr="005235C4">
        <w:rPr>
          <w:rFonts w:asciiTheme="majorHAnsi" w:eastAsia="Times New Roman" w:hAnsiTheme="majorHAnsi"/>
          <w:sz w:val="20"/>
          <w:szCs w:val="20"/>
        </w:rPr>
        <w:t>Τέλος,</w:t>
      </w:r>
      <w:r>
        <w:rPr>
          <w:rFonts w:asciiTheme="majorHAnsi" w:eastAsia="Times New Roman" w:hAnsiTheme="majorHAnsi"/>
          <w:sz w:val="20"/>
          <w:szCs w:val="20"/>
        </w:rPr>
        <w:t xml:space="preserve"> αξίζει να σημειωθεί, ότι στην κατεύθυνση της απόκτησης εργασιακής εμπειρίας,</w:t>
      </w:r>
      <w:r w:rsidR="005235C4" w:rsidRPr="005235C4">
        <w:rPr>
          <w:rFonts w:asciiTheme="majorHAnsi" w:eastAsia="Times New Roman" w:hAnsiTheme="majorHAnsi"/>
          <w:sz w:val="20"/>
          <w:szCs w:val="20"/>
        </w:rPr>
        <w:t xml:space="preserve"> πέντε (5) φοιτητές από την κατεύθυνση της «Στατιστικής και Μοντελοποίησης» συμμετέχουν σε πρακτική άσκηση οχτώ (8) εβδομάδων στην Ελληνική Στατιστική Υπηρεσ</w:t>
      </w:r>
      <w:r>
        <w:rPr>
          <w:rFonts w:asciiTheme="majorHAnsi" w:eastAsia="Times New Roman" w:hAnsiTheme="majorHAnsi"/>
          <w:sz w:val="20"/>
          <w:szCs w:val="20"/>
        </w:rPr>
        <w:t>ία.</w:t>
      </w:r>
    </w:p>
    <w:p w14:paraId="7F12A6B2" w14:textId="1D9B6D51" w:rsidR="00BC36EE" w:rsidRPr="00D11C31" w:rsidRDefault="005F05BB">
      <w:pPr>
        <w:rPr>
          <w:rFonts w:asciiTheme="majorHAnsi" w:eastAsia="Times New Roman" w:hAnsiTheme="majorHAnsi"/>
          <w:b/>
          <w:sz w:val="20"/>
          <w:szCs w:val="20"/>
        </w:rPr>
      </w:pPr>
      <w:r w:rsidRPr="00D11C31">
        <w:rPr>
          <w:rFonts w:asciiTheme="majorHAnsi" w:eastAsia="Times New Roman" w:hAnsiTheme="majorHAnsi"/>
          <w:b/>
          <w:sz w:val="20"/>
          <w:szCs w:val="20"/>
        </w:rPr>
        <w:t>Β. Σ</w:t>
      </w:r>
      <w:r w:rsidR="00BC36EE" w:rsidRPr="00D11C31">
        <w:rPr>
          <w:rFonts w:asciiTheme="majorHAnsi" w:eastAsia="Times New Roman" w:hAnsiTheme="majorHAnsi"/>
          <w:b/>
          <w:sz w:val="20"/>
          <w:szCs w:val="20"/>
        </w:rPr>
        <w:t xml:space="preserve">υνάφεια του </w:t>
      </w:r>
      <w:r w:rsidR="00C72D81" w:rsidRPr="00C72D81">
        <w:rPr>
          <w:rFonts w:asciiTheme="majorHAnsi" w:eastAsia="Times New Roman" w:hAnsiTheme="majorHAnsi"/>
          <w:b/>
          <w:sz w:val="20"/>
          <w:szCs w:val="20"/>
        </w:rPr>
        <w:t>Π.Μ.Σ./Δ.Π.Μ.Σ.</w:t>
      </w:r>
      <w:r w:rsidR="00C72D81">
        <w:rPr>
          <w:rFonts w:asciiTheme="majorHAnsi" w:eastAsia="Times New Roman" w:hAnsiTheme="majorHAnsi"/>
          <w:b/>
          <w:sz w:val="20"/>
          <w:szCs w:val="20"/>
        </w:rPr>
        <w:t xml:space="preserve"> </w:t>
      </w:r>
      <w:r w:rsidR="00BC36EE" w:rsidRPr="00D11C31">
        <w:rPr>
          <w:rFonts w:asciiTheme="majorHAnsi" w:eastAsia="Times New Roman" w:hAnsiTheme="majorHAnsi"/>
          <w:b/>
          <w:sz w:val="20"/>
          <w:szCs w:val="20"/>
        </w:rPr>
        <w:t>με το αντικείμενο του πρώτου κύκλου σπουδών του Τμήματος</w:t>
      </w:r>
    </w:p>
    <w:p w14:paraId="42547152" w14:textId="294035AD" w:rsidR="005F05BB" w:rsidRPr="00D11C31" w:rsidRDefault="005F05BB">
      <w:pPr>
        <w:rPr>
          <w:rFonts w:asciiTheme="majorHAnsi" w:eastAsia="Times New Roman" w:hAnsiTheme="majorHAnsi"/>
          <w:b/>
          <w:sz w:val="20"/>
          <w:szCs w:val="20"/>
        </w:rPr>
      </w:pPr>
      <w:r w:rsidRPr="00D11C31">
        <w:rPr>
          <w:rFonts w:asciiTheme="majorHAnsi" w:eastAsia="Times New Roman" w:hAnsiTheme="majorHAnsi"/>
          <w:b/>
          <w:sz w:val="20"/>
          <w:szCs w:val="20"/>
        </w:rPr>
        <w:t>Γ. Επάρκεια διδασκόντων</w:t>
      </w:r>
      <w:r w:rsidR="00CB154F">
        <w:rPr>
          <w:rFonts w:asciiTheme="majorHAnsi" w:eastAsia="Times New Roman" w:hAnsiTheme="majorHAnsi"/>
          <w:b/>
          <w:sz w:val="20"/>
          <w:szCs w:val="20"/>
        </w:rPr>
        <w:t>/-ουσών</w:t>
      </w:r>
      <w:r w:rsidRPr="00D11C31">
        <w:rPr>
          <w:rFonts w:asciiTheme="majorHAnsi" w:eastAsia="Times New Roman" w:hAnsiTheme="majorHAnsi"/>
          <w:b/>
          <w:sz w:val="20"/>
          <w:szCs w:val="20"/>
        </w:rPr>
        <w:t xml:space="preserve"> του </w:t>
      </w:r>
      <w:r w:rsidR="00C72D81" w:rsidRPr="00C72D81">
        <w:rPr>
          <w:rFonts w:asciiTheme="majorHAnsi" w:eastAsia="Times New Roman" w:hAnsiTheme="majorHAnsi"/>
          <w:b/>
          <w:sz w:val="20"/>
          <w:szCs w:val="20"/>
        </w:rPr>
        <w:t>Π.Μ.Σ./Δ.Π.Μ.Σ.</w:t>
      </w:r>
    </w:p>
    <w:p w14:paraId="3C8C3559" w14:textId="4544A1D0" w:rsidR="005F05BB" w:rsidRDefault="005F05BB">
      <w:pPr>
        <w:rPr>
          <w:rFonts w:asciiTheme="majorHAnsi" w:eastAsia="Times New Roman" w:hAnsiTheme="majorHAnsi"/>
          <w:sz w:val="20"/>
          <w:szCs w:val="20"/>
        </w:rPr>
      </w:pPr>
      <w:r w:rsidRPr="00D11C31">
        <w:rPr>
          <w:rFonts w:asciiTheme="majorHAnsi" w:eastAsia="Times New Roman" w:hAnsiTheme="majorHAnsi"/>
          <w:sz w:val="20"/>
          <w:szCs w:val="20"/>
        </w:rPr>
        <w:t>1. Τεκμηρίωση επάρκειας ως προς το γνωστικό αντικείμενο</w:t>
      </w:r>
      <w:r w:rsidR="00CB154F">
        <w:rPr>
          <w:rFonts w:asciiTheme="majorHAnsi" w:eastAsia="Times New Roman" w:hAnsiTheme="majorHAnsi"/>
          <w:sz w:val="20"/>
          <w:szCs w:val="20"/>
        </w:rPr>
        <w:t>.</w:t>
      </w:r>
    </w:p>
    <w:p w14:paraId="29C9E001" w14:textId="5CD990D0" w:rsidR="00240BD1" w:rsidRDefault="00240BD1" w:rsidP="00240BD1">
      <w:pPr>
        <w:ind w:left="360"/>
        <w:jc w:val="both"/>
        <w:rPr>
          <w:rFonts w:asciiTheme="majorHAnsi" w:eastAsia="Times New Roman" w:hAnsiTheme="majorHAnsi"/>
          <w:sz w:val="20"/>
          <w:szCs w:val="20"/>
        </w:rPr>
      </w:pPr>
      <w:r>
        <w:rPr>
          <w:rFonts w:asciiTheme="majorHAnsi" w:eastAsia="Times New Roman" w:hAnsiTheme="majorHAnsi"/>
          <w:sz w:val="20"/>
          <w:szCs w:val="20"/>
        </w:rPr>
        <w:t>Το Τμήμα μας παρέχει συνεχή</w:t>
      </w:r>
      <w:r w:rsidRPr="005235C4">
        <w:rPr>
          <w:rFonts w:asciiTheme="majorHAnsi" w:eastAsia="Times New Roman" w:hAnsiTheme="majorHAnsi"/>
          <w:sz w:val="20"/>
          <w:szCs w:val="20"/>
        </w:rPr>
        <w:t xml:space="preserve"> παρακολούθηση</w:t>
      </w:r>
      <w:r w:rsidR="004F05D0">
        <w:rPr>
          <w:rFonts w:asciiTheme="majorHAnsi" w:eastAsia="Times New Roman" w:hAnsiTheme="majorHAnsi"/>
          <w:sz w:val="20"/>
          <w:szCs w:val="20"/>
        </w:rPr>
        <w:t xml:space="preserve"> και ενημέρωση</w:t>
      </w:r>
      <w:r w:rsidRPr="005235C4">
        <w:rPr>
          <w:rFonts w:asciiTheme="majorHAnsi" w:eastAsia="Times New Roman" w:hAnsiTheme="majorHAnsi"/>
          <w:sz w:val="20"/>
          <w:szCs w:val="20"/>
        </w:rPr>
        <w:t xml:space="preserve"> των επιστημονικών εξελίξεων της Μαθηματικής Επιστήμης και των διάφ</w:t>
      </w:r>
      <w:r w:rsidR="00BF2F11">
        <w:rPr>
          <w:rFonts w:asciiTheme="majorHAnsi" w:eastAsia="Times New Roman" w:hAnsiTheme="majorHAnsi"/>
          <w:sz w:val="20"/>
          <w:szCs w:val="20"/>
        </w:rPr>
        <w:t xml:space="preserve">ορων Εφαρμογών. </w:t>
      </w:r>
      <w:r w:rsidRPr="005235C4">
        <w:rPr>
          <w:rFonts w:asciiTheme="majorHAnsi" w:eastAsia="Times New Roman" w:hAnsiTheme="majorHAnsi"/>
          <w:sz w:val="20"/>
          <w:szCs w:val="20"/>
        </w:rPr>
        <w:t xml:space="preserve"> </w:t>
      </w:r>
      <w:r w:rsidR="00BF2F11">
        <w:rPr>
          <w:rFonts w:asciiTheme="majorHAnsi" w:eastAsia="Times New Roman" w:hAnsiTheme="majorHAnsi"/>
          <w:sz w:val="20"/>
          <w:szCs w:val="20"/>
        </w:rPr>
        <w:t>Κάποιοι από τους σημαντικότερους παράγοντες μέσω των οποίων αυτό επιτυγχάνεται είναι η διαρκής ενημέρωση και επιστημονικής εξέλιξη</w:t>
      </w:r>
      <w:r w:rsidRPr="005235C4">
        <w:rPr>
          <w:rFonts w:asciiTheme="majorHAnsi" w:eastAsia="Times New Roman" w:hAnsiTheme="majorHAnsi"/>
          <w:sz w:val="20"/>
          <w:szCs w:val="20"/>
        </w:rPr>
        <w:t xml:space="preserve"> των διδασκό</w:t>
      </w:r>
      <w:r w:rsidR="00BF2F11">
        <w:rPr>
          <w:rFonts w:asciiTheme="majorHAnsi" w:eastAsia="Times New Roman" w:hAnsiTheme="majorHAnsi"/>
          <w:sz w:val="20"/>
          <w:szCs w:val="20"/>
        </w:rPr>
        <w:t xml:space="preserve">ντων του Π.Μ.Σ. </w:t>
      </w:r>
      <w:r w:rsidRPr="005235C4">
        <w:rPr>
          <w:rFonts w:asciiTheme="majorHAnsi" w:eastAsia="Times New Roman" w:hAnsiTheme="majorHAnsi"/>
          <w:sz w:val="20"/>
          <w:szCs w:val="20"/>
        </w:rPr>
        <w:t xml:space="preserve"> μέσω Σεμιναρίων</w:t>
      </w:r>
      <w:r w:rsidR="00BF2F11">
        <w:rPr>
          <w:rFonts w:asciiTheme="majorHAnsi" w:eastAsia="Times New Roman" w:hAnsiTheme="majorHAnsi"/>
          <w:sz w:val="20"/>
          <w:szCs w:val="20"/>
        </w:rPr>
        <w:t>,</w:t>
      </w:r>
      <w:r w:rsidRPr="005235C4">
        <w:rPr>
          <w:rFonts w:asciiTheme="majorHAnsi" w:eastAsia="Times New Roman" w:hAnsiTheme="majorHAnsi"/>
          <w:sz w:val="20"/>
          <w:szCs w:val="20"/>
        </w:rPr>
        <w:t xml:space="preserve"> είτε στο Τμήμα μας είτε συμμετέχοντας διαδικτυακά πλέον σε άλλα σεμινά</w:t>
      </w:r>
      <w:r w:rsidR="00BF2F11">
        <w:rPr>
          <w:rFonts w:asciiTheme="majorHAnsi" w:eastAsia="Times New Roman" w:hAnsiTheme="majorHAnsi"/>
          <w:sz w:val="20"/>
          <w:szCs w:val="20"/>
        </w:rPr>
        <w:t>ρια στο Εξωτερικό, μέσω επιστημονικών προσκεκλημένων για ομιλίες και ερευνητικές συνεργασίες, αλλά και μέσω</w:t>
      </w:r>
      <w:r w:rsidRPr="005235C4">
        <w:rPr>
          <w:rFonts w:asciiTheme="majorHAnsi" w:eastAsia="Times New Roman" w:hAnsiTheme="majorHAnsi"/>
          <w:sz w:val="20"/>
          <w:szCs w:val="20"/>
        </w:rPr>
        <w:t xml:space="preserve"> της διασύνδεσής τους με τη διεθνή επιστημονική κοινότητα</w:t>
      </w:r>
      <w:r w:rsidR="00BF2F11">
        <w:rPr>
          <w:rFonts w:asciiTheme="majorHAnsi" w:eastAsia="Times New Roman" w:hAnsiTheme="majorHAnsi"/>
          <w:sz w:val="20"/>
          <w:szCs w:val="20"/>
        </w:rPr>
        <w:t xml:space="preserve"> (συμμετοχή σε </w:t>
      </w:r>
      <w:r w:rsidR="009538A5">
        <w:rPr>
          <w:rFonts w:asciiTheme="majorHAnsi" w:eastAsia="Times New Roman" w:hAnsiTheme="majorHAnsi"/>
          <w:sz w:val="20"/>
          <w:szCs w:val="20"/>
        </w:rPr>
        <w:t xml:space="preserve">διεθνή </w:t>
      </w:r>
      <w:r w:rsidR="00BF2F11">
        <w:rPr>
          <w:rFonts w:asciiTheme="majorHAnsi" w:eastAsia="Times New Roman" w:hAnsiTheme="majorHAnsi"/>
          <w:sz w:val="20"/>
          <w:szCs w:val="20"/>
        </w:rPr>
        <w:t>συνέδρια, ταξίδια για ομιλίες και ερευνητικές συνεργασίες με διάφορους συναδέλφους σε κορυφαία πανεπιστήμια εντός και εκτός της χώρας).</w:t>
      </w:r>
      <w:r w:rsidRPr="005235C4">
        <w:rPr>
          <w:rFonts w:asciiTheme="majorHAnsi" w:eastAsia="Times New Roman" w:hAnsiTheme="majorHAnsi"/>
          <w:sz w:val="20"/>
          <w:szCs w:val="20"/>
        </w:rPr>
        <w:t xml:space="preserve"> </w:t>
      </w:r>
    </w:p>
    <w:p w14:paraId="72FE0021" w14:textId="34F4B48F" w:rsidR="00BF2F11" w:rsidRPr="00BF2F11" w:rsidRDefault="00BF2F11" w:rsidP="00BF2F11">
      <w:pPr>
        <w:ind w:left="360"/>
        <w:jc w:val="both"/>
        <w:rPr>
          <w:rFonts w:asciiTheme="majorHAnsi" w:eastAsia="Times New Roman" w:hAnsiTheme="majorHAnsi"/>
          <w:sz w:val="20"/>
          <w:szCs w:val="20"/>
        </w:rPr>
      </w:pPr>
      <w:r>
        <w:rPr>
          <w:rFonts w:asciiTheme="majorHAnsi" w:eastAsia="Times New Roman" w:hAnsiTheme="majorHAnsi"/>
          <w:sz w:val="20"/>
          <w:szCs w:val="20"/>
        </w:rPr>
        <w:t>Προς ενίσχυση</w:t>
      </w:r>
      <w:r w:rsidR="00F15027">
        <w:rPr>
          <w:rFonts w:asciiTheme="majorHAnsi" w:eastAsia="Times New Roman" w:hAnsiTheme="majorHAnsi"/>
          <w:sz w:val="20"/>
          <w:szCs w:val="20"/>
        </w:rPr>
        <w:t xml:space="preserve"> και επιβεβαίωση</w:t>
      </w:r>
      <w:r>
        <w:rPr>
          <w:rFonts w:asciiTheme="majorHAnsi" w:eastAsia="Times New Roman" w:hAnsiTheme="majorHAnsi"/>
          <w:sz w:val="20"/>
          <w:szCs w:val="20"/>
        </w:rPr>
        <w:t xml:space="preserve"> των ανωτέρω, αξίζει να τονιστεί ότι α</w:t>
      </w:r>
      <w:r w:rsidRPr="00BF2F11">
        <w:rPr>
          <w:rFonts w:asciiTheme="majorHAnsi" w:eastAsia="Times New Roman" w:hAnsiTheme="majorHAnsi"/>
          <w:sz w:val="20"/>
          <w:szCs w:val="20"/>
        </w:rPr>
        <w:t xml:space="preserve">πό το 2017 έως σήμερα το Τμήμα Μαθηματικών του ΑΠΘ έχει στελεχωθεί με νέο προσωπικό εξαιρετικά υψηλού επιστημονικού επιπέδου με μακρόχρονη εμπειρία σε Πανεπιστήμια του Εξωτερικού. Κατά την πρόσληψη νέων μελών ΔΕΠ λαμβάνονται υπόψιν οι ανάγκες του Τμήματος αναφορικά με την </w:t>
      </w:r>
      <w:r w:rsidRPr="00BF2F11">
        <w:rPr>
          <w:rFonts w:asciiTheme="majorHAnsi" w:eastAsia="Times New Roman" w:hAnsiTheme="majorHAnsi"/>
          <w:sz w:val="20"/>
          <w:szCs w:val="20"/>
        </w:rPr>
        <w:lastRenderedPageBreak/>
        <w:t>κάλυψη σύγχρονων γνωστικών ερευνητικών αντικειμένων. Ενδεικτικά αναφέρουμε ότι τα τελευταία χρόνια με τις νέες αυτές προσλήψεις καλύφθηκαν</w:t>
      </w:r>
      <w:r>
        <w:rPr>
          <w:rFonts w:asciiTheme="majorHAnsi" w:eastAsia="Times New Roman" w:hAnsiTheme="majorHAnsi"/>
          <w:sz w:val="20"/>
          <w:szCs w:val="20"/>
        </w:rPr>
        <w:t xml:space="preserve"> κορυφαίοι σύγχρονοι</w:t>
      </w:r>
      <w:r w:rsidRPr="00BF2F11">
        <w:rPr>
          <w:rFonts w:asciiTheme="majorHAnsi" w:eastAsia="Times New Roman" w:hAnsiTheme="majorHAnsi"/>
          <w:sz w:val="20"/>
          <w:szCs w:val="20"/>
        </w:rPr>
        <w:t xml:space="preserve"> τομείς </w:t>
      </w:r>
      <w:r w:rsidR="00C73B5F">
        <w:rPr>
          <w:rFonts w:asciiTheme="majorHAnsi" w:eastAsia="Times New Roman" w:hAnsiTheme="majorHAnsi"/>
          <w:sz w:val="20"/>
          <w:szCs w:val="20"/>
        </w:rPr>
        <w:t>όπως οι ακόλουθοι</w:t>
      </w:r>
      <w:r w:rsidRPr="00BF2F11">
        <w:rPr>
          <w:rFonts w:asciiTheme="majorHAnsi" w:eastAsia="Times New Roman" w:hAnsiTheme="majorHAnsi"/>
          <w:sz w:val="20"/>
          <w:szCs w:val="20"/>
        </w:rPr>
        <w:t>:</w:t>
      </w:r>
    </w:p>
    <w:p w14:paraId="1557EC20" w14:textId="77777777" w:rsidR="00BF2F11" w:rsidRPr="00BF2F11" w:rsidRDefault="00BF2F11" w:rsidP="00BF2F11">
      <w:pPr>
        <w:ind w:left="360"/>
        <w:jc w:val="both"/>
        <w:rPr>
          <w:rFonts w:asciiTheme="majorHAnsi" w:eastAsia="Times New Roman" w:hAnsiTheme="majorHAnsi"/>
          <w:sz w:val="20"/>
          <w:szCs w:val="20"/>
        </w:rPr>
      </w:pPr>
      <w:r w:rsidRPr="00BF2F11">
        <w:rPr>
          <w:rFonts w:asciiTheme="majorHAnsi" w:eastAsia="Times New Roman" w:hAnsiTheme="majorHAnsi"/>
          <w:sz w:val="20"/>
          <w:szCs w:val="20"/>
        </w:rPr>
        <w:t>(i)</w:t>
      </w:r>
      <w:r w:rsidRPr="00BF2F11">
        <w:rPr>
          <w:rFonts w:asciiTheme="majorHAnsi" w:eastAsia="Times New Roman" w:hAnsiTheme="majorHAnsi"/>
          <w:sz w:val="20"/>
          <w:szCs w:val="20"/>
        </w:rPr>
        <w:tab/>
      </w:r>
      <w:proofErr w:type="spellStart"/>
      <w:r w:rsidRPr="00BF2F11">
        <w:rPr>
          <w:rFonts w:asciiTheme="majorHAnsi" w:eastAsia="Times New Roman" w:hAnsiTheme="majorHAnsi"/>
          <w:sz w:val="20"/>
          <w:szCs w:val="20"/>
        </w:rPr>
        <w:t>Ομολογική</w:t>
      </w:r>
      <w:proofErr w:type="spellEnd"/>
      <w:r w:rsidRPr="00BF2F11">
        <w:rPr>
          <w:rFonts w:asciiTheme="majorHAnsi" w:eastAsia="Times New Roman" w:hAnsiTheme="majorHAnsi"/>
          <w:sz w:val="20"/>
          <w:szCs w:val="20"/>
        </w:rPr>
        <w:t xml:space="preserve"> Άλγεβρα, Αναπαραστάσεις Αλγεβρών</w:t>
      </w:r>
    </w:p>
    <w:p w14:paraId="690A3E18" w14:textId="77777777" w:rsidR="00BF2F11" w:rsidRPr="00BF2F11" w:rsidRDefault="00BF2F11" w:rsidP="00BF2F11">
      <w:pPr>
        <w:ind w:left="360"/>
        <w:jc w:val="both"/>
        <w:rPr>
          <w:rFonts w:asciiTheme="majorHAnsi" w:eastAsia="Times New Roman" w:hAnsiTheme="majorHAnsi"/>
          <w:sz w:val="20"/>
          <w:szCs w:val="20"/>
        </w:rPr>
      </w:pPr>
      <w:r w:rsidRPr="00BF2F11">
        <w:rPr>
          <w:rFonts w:asciiTheme="majorHAnsi" w:eastAsia="Times New Roman" w:hAnsiTheme="majorHAnsi"/>
          <w:sz w:val="20"/>
          <w:szCs w:val="20"/>
        </w:rPr>
        <w:t>(</w:t>
      </w:r>
      <w:proofErr w:type="spellStart"/>
      <w:r w:rsidRPr="00BF2F11">
        <w:rPr>
          <w:rFonts w:asciiTheme="majorHAnsi" w:eastAsia="Times New Roman" w:hAnsiTheme="majorHAnsi"/>
          <w:sz w:val="20"/>
          <w:szCs w:val="20"/>
        </w:rPr>
        <w:t>ii</w:t>
      </w:r>
      <w:proofErr w:type="spellEnd"/>
      <w:r w:rsidRPr="00BF2F11">
        <w:rPr>
          <w:rFonts w:asciiTheme="majorHAnsi" w:eastAsia="Times New Roman" w:hAnsiTheme="majorHAnsi"/>
          <w:sz w:val="20"/>
          <w:szCs w:val="20"/>
        </w:rPr>
        <w:t>)</w:t>
      </w:r>
      <w:r w:rsidRPr="00BF2F11">
        <w:rPr>
          <w:rFonts w:asciiTheme="majorHAnsi" w:eastAsia="Times New Roman" w:hAnsiTheme="majorHAnsi"/>
          <w:sz w:val="20"/>
          <w:szCs w:val="20"/>
        </w:rPr>
        <w:tab/>
        <w:t>Διαφορική Γεωμετρία - Μαθηματική Φυσική, Ολική Ανάλυση</w:t>
      </w:r>
    </w:p>
    <w:p w14:paraId="48FD20F2" w14:textId="77777777" w:rsidR="00BF2F11" w:rsidRPr="00BF2F11" w:rsidRDefault="00BF2F11" w:rsidP="00BF2F11">
      <w:pPr>
        <w:ind w:left="360"/>
        <w:jc w:val="both"/>
        <w:rPr>
          <w:rFonts w:asciiTheme="majorHAnsi" w:eastAsia="Times New Roman" w:hAnsiTheme="majorHAnsi"/>
          <w:sz w:val="20"/>
          <w:szCs w:val="20"/>
        </w:rPr>
      </w:pPr>
      <w:r w:rsidRPr="00BF2F11">
        <w:rPr>
          <w:rFonts w:asciiTheme="majorHAnsi" w:eastAsia="Times New Roman" w:hAnsiTheme="majorHAnsi"/>
          <w:sz w:val="20"/>
          <w:szCs w:val="20"/>
        </w:rPr>
        <w:t>(</w:t>
      </w:r>
      <w:proofErr w:type="spellStart"/>
      <w:r w:rsidRPr="00BF2F11">
        <w:rPr>
          <w:rFonts w:asciiTheme="majorHAnsi" w:eastAsia="Times New Roman" w:hAnsiTheme="majorHAnsi"/>
          <w:sz w:val="20"/>
          <w:szCs w:val="20"/>
        </w:rPr>
        <w:t>iii</w:t>
      </w:r>
      <w:proofErr w:type="spellEnd"/>
      <w:r w:rsidRPr="00BF2F11">
        <w:rPr>
          <w:rFonts w:asciiTheme="majorHAnsi" w:eastAsia="Times New Roman" w:hAnsiTheme="majorHAnsi"/>
          <w:sz w:val="20"/>
          <w:szCs w:val="20"/>
        </w:rPr>
        <w:t>)</w:t>
      </w:r>
      <w:r w:rsidRPr="00BF2F11">
        <w:rPr>
          <w:rFonts w:asciiTheme="majorHAnsi" w:eastAsia="Times New Roman" w:hAnsiTheme="majorHAnsi"/>
          <w:sz w:val="20"/>
          <w:szCs w:val="20"/>
        </w:rPr>
        <w:tab/>
        <w:t xml:space="preserve">Κυρτή Ανάλυση, Συνδυαστική </w:t>
      </w:r>
    </w:p>
    <w:p w14:paraId="31E5B1EA" w14:textId="77777777" w:rsidR="00BF2F11" w:rsidRPr="00BF2F11" w:rsidRDefault="00BF2F11" w:rsidP="00BF2F11">
      <w:pPr>
        <w:ind w:left="360"/>
        <w:jc w:val="both"/>
        <w:rPr>
          <w:rFonts w:asciiTheme="majorHAnsi" w:eastAsia="Times New Roman" w:hAnsiTheme="majorHAnsi"/>
          <w:sz w:val="20"/>
          <w:szCs w:val="20"/>
        </w:rPr>
      </w:pPr>
      <w:r w:rsidRPr="00BF2F11">
        <w:rPr>
          <w:rFonts w:asciiTheme="majorHAnsi" w:eastAsia="Times New Roman" w:hAnsiTheme="majorHAnsi"/>
          <w:sz w:val="20"/>
          <w:szCs w:val="20"/>
        </w:rPr>
        <w:t>(</w:t>
      </w:r>
      <w:proofErr w:type="spellStart"/>
      <w:r w:rsidRPr="00BF2F11">
        <w:rPr>
          <w:rFonts w:asciiTheme="majorHAnsi" w:eastAsia="Times New Roman" w:hAnsiTheme="majorHAnsi"/>
          <w:sz w:val="20"/>
          <w:szCs w:val="20"/>
        </w:rPr>
        <w:t>iv</w:t>
      </w:r>
      <w:proofErr w:type="spellEnd"/>
      <w:r w:rsidRPr="00BF2F11">
        <w:rPr>
          <w:rFonts w:asciiTheme="majorHAnsi" w:eastAsia="Times New Roman" w:hAnsiTheme="majorHAnsi"/>
          <w:sz w:val="20"/>
          <w:szCs w:val="20"/>
        </w:rPr>
        <w:t>)</w:t>
      </w:r>
      <w:r w:rsidRPr="00BF2F11">
        <w:rPr>
          <w:rFonts w:asciiTheme="majorHAnsi" w:eastAsia="Times New Roman" w:hAnsiTheme="majorHAnsi"/>
          <w:sz w:val="20"/>
          <w:szCs w:val="20"/>
        </w:rPr>
        <w:tab/>
        <w:t>Θεωρία Αριθμών, Αλγεβρική Γεωμετρία</w:t>
      </w:r>
    </w:p>
    <w:p w14:paraId="53E73B38" w14:textId="0DBD98B6" w:rsidR="00BF2F11" w:rsidRPr="00BF2F11" w:rsidRDefault="00BF2F11" w:rsidP="00BF2F11">
      <w:pPr>
        <w:ind w:left="360"/>
        <w:jc w:val="both"/>
        <w:rPr>
          <w:rFonts w:asciiTheme="majorHAnsi" w:eastAsia="Times New Roman" w:hAnsiTheme="majorHAnsi"/>
          <w:sz w:val="20"/>
          <w:szCs w:val="20"/>
        </w:rPr>
      </w:pPr>
      <w:r w:rsidRPr="00BF2F11">
        <w:rPr>
          <w:rFonts w:asciiTheme="majorHAnsi" w:eastAsia="Times New Roman" w:hAnsiTheme="majorHAnsi"/>
          <w:sz w:val="20"/>
          <w:szCs w:val="20"/>
        </w:rPr>
        <w:t>(v)</w:t>
      </w:r>
      <w:r w:rsidRPr="00BF2F11">
        <w:rPr>
          <w:rFonts w:asciiTheme="majorHAnsi" w:eastAsia="Times New Roman" w:hAnsiTheme="majorHAnsi"/>
          <w:sz w:val="20"/>
          <w:szCs w:val="20"/>
        </w:rPr>
        <w:tab/>
      </w:r>
      <w:proofErr w:type="spellStart"/>
      <w:r w:rsidRPr="00BF2F11">
        <w:rPr>
          <w:rFonts w:asciiTheme="majorHAnsi" w:eastAsia="Times New Roman" w:hAnsiTheme="majorHAnsi"/>
          <w:sz w:val="20"/>
          <w:szCs w:val="20"/>
        </w:rPr>
        <w:t>Εργοδική</w:t>
      </w:r>
      <w:proofErr w:type="spellEnd"/>
      <w:r w:rsidRPr="00BF2F11">
        <w:rPr>
          <w:rFonts w:asciiTheme="majorHAnsi" w:eastAsia="Times New Roman" w:hAnsiTheme="majorHAnsi"/>
          <w:sz w:val="20"/>
          <w:szCs w:val="20"/>
        </w:rPr>
        <w:t xml:space="preserve"> Θεωρία, Πιθανότητες</w:t>
      </w:r>
      <w:r w:rsidR="00C73B5F">
        <w:rPr>
          <w:rFonts w:asciiTheme="majorHAnsi" w:eastAsia="Times New Roman" w:hAnsiTheme="majorHAnsi"/>
          <w:sz w:val="20"/>
          <w:szCs w:val="20"/>
        </w:rPr>
        <w:t>, Στατιστική</w:t>
      </w:r>
    </w:p>
    <w:p w14:paraId="68D7ABAF" w14:textId="77777777" w:rsidR="00BF2F11" w:rsidRPr="00BF2F11" w:rsidRDefault="00BF2F11" w:rsidP="00BF2F11">
      <w:pPr>
        <w:ind w:left="360"/>
        <w:jc w:val="both"/>
        <w:rPr>
          <w:rFonts w:asciiTheme="majorHAnsi" w:eastAsia="Times New Roman" w:hAnsiTheme="majorHAnsi"/>
          <w:sz w:val="20"/>
          <w:szCs w:val="20"/>
        </w:rPr>
      </w:pPr>
      <w:r w:rsidRPr="00BF2F11">
        <w:rPr>
          <w:rFonts w:asciiTheme="majorHAnsi" w:eastAsia="Times New Roman" w:hAnsiTheme="majorHAnsi"/>
          <w:sz w:val="20"/>
          <w:szCs w:val="20"/>
        </w:rPr>
        <w:t>(</w:t>
      </w:r>
      <w:proofErr w:type="spellStart"/>
      <w:r w:rsidRPr="00BF2F11">
        <w:rPr>
          <w:rFonts w:asciiTheme="majorHAnsi" w:eastAsia="Times New Roman" w:hAnsiTheme="majorHAnsi"/>
          <w:sz w:val="20"/>
          <w:szCs w:val="20"/>
        </w:rPr>
        <w:t>vi</w:t>
      </w:r>
      <w:proofErr w:type="spellEnd"/>
      <w:r w:rsidRPr="00BF2F11">
        <w:rPr>
          <w:rFonts w:asciiTheme="majorHAnsi" w:eastAsia="Times New Roman" w:hAnsiTheme="majorHAnsi"/>
          <w:sz w:val="20"/>
          <w:szCs w:val="20"/>
        </w:rPr>
        <w:t>)</w:t>
      </w:r>
      <w:r w:rsidRPr="00BF2F11">
        <w:rPr>
          <w:rFonts w:asciiTheme="majorHAnsi" w:eastAsia="Times New Roman" w:hAnsiTheme="majorHAnsi"/>
          <w:sz w:val="20"/>
          <w:szCs w:val="20"/>
        </w:rPr>
        <w:tab/>
        <w:t>Μερικές Διαφορικές Εξισώσεις, Αριθμητική Ανάλυση</w:t>
      </w:r>
    </w:p>
    <w:p w14:paraId="34E23855" w14:textId="3DECD6C8" w:rsidR="00BF2F11" w:rsidRPr="00BF2F11" w:rsidRDefault="00BF2F11" w:rsidP="00BF2F11">
      <w:pPr>
        <w:ind w:left="360"/>
        <w:jc w:val="both"/>
        <w:rPr>
          <w:rFonts w:asciiTheme="majorHAnsi" w:eastAsia="Times New Roman" w:hAnsiTheme="majorHAnsi"/>
          <w:sz w:val="20"/>
          <w:szCs w:val="20"/>
        </w:rPr>
      </w:pPr>
      <w:r>
        <w:rPr>
          <w:rFonts w:asciiTheme="majorHAnsi" w:eastAsia="Times New Roman" w:hAnsiTheme="majorHAnsi"/>
          <w:sz w:val="20"/>
          <w:szCs w:val="20"/>
        </w:rPr>
        <w:t>(</w:t>
      </w:r>
      <w:proofErr w:type="spellStart"/>
      <w:r>
        <w:rPr>
          <w:rFonts w:asciiTheme="majorHAnsi" w:eastAsia="Times New Roman" w:hAnsiTheme="majorHAnsi"/>
          <w:sz w:val="20"/>
          <w:szCs w:val="20"/>
        </w:rPr>
        <w:t>vii</w:t>
      </w:r>
      <w:proofErr w:type="spellEnd"/>
      <w:r>
        <w:rPr>
          <w:rFonts w:asciiTheme="majorHAnsi" w:eastAsia="Times New Roman" w:hAnsiTheme="majorHAnsi"/>
          <w:sz w:val="20"/>
          <w:szCs w:val="20"/>
        </w:rPr>
        <w:t xml:space="preserve">) </w:t>
      </w:r>
      <w:r w:rsidRPr="00BF2F11">
        <w:rPr>
          <w:rFonts w:asciiTheme="majorHAnsi" w:eastAsia="Times New Roman" w:hAnsiTheme="majorHAnsi"/>
          <w:sz w:val="20"/>
          <w:szCs w:val="20"/>
        </w:rPr>
        <w:t>Αλγεβρική Τοπολογία, Κ-Θεωρία</w:t>
      </w:r>
      <w:r>
        <w:rPr>
          <w:rFonts w:asciiTheme="majorHAnsi" w:eastAsia="Times New Roman" w:hAnsiTheme="majorHAnsi"/>
          <w:sz w:val="20"/>
          <w:szCs w:val="20"/>
        </w:rPr>
        <w:t>.</w:t>
      </w:r>
    </w:p>
    <w:p w14:paraId="1EF2533A" w14:textId="77D8DA9A" w:rsidR="00BF2F11" w:rsidRPr="00D11C31" w:rsidRDefault="00BF2F11" w:rsidP="00BF2F11">
      <w:pPr>
        <w:ind w:left="360"/>
        <w:jc w:val="both"/>
        <w:rPr>
          <w:rFonts w:asciiTheme="majorHAnsi" w:eastAsia="Times New Roman" w:hAnsiTheme="majorHAnsi"/>
          <w:sz w:val="20"/>
          <w:szCs w:val="20"/>
        </w:rPr>
      </w:pPr>
      <w:r w:rsidRPr="00BF2F11">
        <w:rPr>
          <w:rFonts w:asciiTheme="majorHAnsi" w:eastAsia="Times New Roman" w:hAnsiTheme="majorHAnsi"/>
          <w:sz w:val="20"/>
          <w:szCs w:val="20"/>
        </w:rPr>
        <w:t>Βασική μέριμνα του Τμήματος είναι η συνεχής αν</w:t>
      </w:r>
      <w:r>
        <w:rPr>
          <w:rFonts w:asciiTheme="majorHAnsi" w:eastAsia="Times New Roman" w:hAnsiTheme="majorHAnsi"/>
          <w:sz w:val="20"/>
          <w:szCs w:val="20"/>
        </w:rPr>
        <w:t>άπτυξη και εξέλιξη των μελών του</w:t>
      </w:r>
      <w:r w:rsidRPr="00BF2F11">
        <w:rPr>
          <w:rFonts w:asciiTheme="majorHAnsi" w:eastAsia="Times New Roman" w:hAnsiTheme="majorHAnsi"/>
          <w:sz w:val="20"/>
          <w:szCs w:val="20"/>
        </w:rPr>
        <w:t>. Αυτό έχει ως άμεση συνέπεια την εισαγωγή νέων σύγχρονων μαθημάτων στο Π.Μ.Σ. αναφορικά με διάφορες θεματικές που δεν δύναται να καλυφθούν στο πρόσφατο παρελθόν. Τα μεταπτυχιακά μαθήματα διδάσκονται από τους πλέον κατάλληλου</w:t>
      </w:r>
      <w:r w:rsidR="00F812E6">
        <w:rPr>
          <w:rFonts w:asciiTheme="majorHAnsi" w:eastAsia="Times New Roman" w:hAnsiTheme="majorHAnsi"/>
          <w:sz w:val="20"/>
          <w:szCs w:val="20"/>
        </w:rPr>
        <w:t>ς και ειδικούς στον κάθε τομέα.</w:t>
      </w:r>
    </w:p>
    <w:p w14:paraId="739C591A" w14:textId="7425EA21" w:rsidR="00F812E6" w:rsidRDefault="005F05BB" w:rsidP="00F812E6">
      <w:pPr>
        <w:rPr>
          <w:rFonts w:asciiTheme="majorHAnsi" w:eastAsia="Times New Roman" w:hAnsiTheme="majorHAnsi"/>
          <w:sz w:val="20"/>
          <w:szCs w:val="20"/>
        </w:rPr>
      </w:pPr>
      <w:r w:rsidRPr="00D11C31">
        <w:rPr>
          <w:rFonts w:asciiTheme="majorHAnsi" w:eastAsia="Times New Roman" w:hAnsiTheme="majorHAnsi"/>
          <w:sz w:val="20"/>
          <w:szCs w:val="20"/>
        </w:rPr>
        <w:t xml:space="preserve">2. Τεκμηρίωση επάρκειας ως προς το </w:t>
      </w:r>
      <w:r w:rsidR="00BC36EE" w:rsidRPr="00D11C31">
        <w:rPr>
          <w:rFonts w:asciiTheme="majorHAnsi" w:eastAsia="Times New Roman" w:hAnsiTheme="majorHAnsi"/>
          <w:sz w:val="20"/>
          <w:szCs w:val="20"/>
        </w:rPr>
        <w:t>ανάλογο ερευνητικό και δημοσιευμένο έργο</w:t>
      </w:r>
      <w:r w:rsidR="00CB154F">
        <w:rPr>
          <w:rFonts w:asciiTheme="majorHAnsi" w:eastAsia="Times New Roman" w:hAnsiTheme="majorHAnsi"/>
          <w:sz w:val="20"/>
          <w:szCs w:val="20"/>
        </w:rPr>
        <w:t>.</w:t>
      </w:r>
    </w:p>
    <w:p w14:paraId="5D1B6377" w14:textId="60A2C007" w:rsidR="00F812E6" w:rsidRDefault="00F812E6" w:rsidP="00964E2A">
      <w:pPr>
        <w:ind w:left="360"/>
        <w:jc w:val="both"/>
        <w:rPr>
          <w:rFonts w:asciiTheme="majorHAnsi" w:eastAsia="Times New Roman" w:hAnsiTheme="majorHAnsi"/>
          <w:sz w:val="20"/>
          <w:szCs w:val="20"/>
        </w:rPr>
      </w:pPr>
      <w:r>
        <w:rPr>
          <w:rFonts w:asciiTheme="majorHAnsi" w:eastAsia="Times New Roman" w:hAnsiTheme="majorHAnsi"/>
          <w:sz w:val="20"/>
          <w:szCs w:val="20"/>
        </w:rPr>
        <w:t xml:space="preserve">Όπως αναφέρθηκε προηγουμένως, </w:t>
      </w:r>
      <w:r w:rsidRPr="00BF2F11">
        <w:rPr>
          <w:rFonts w:asciiTheme="majorHAnsi" w:eastAsia="Times New Roman" w:hAnsiTheme="majorHAnsi"/>
          <w:sz w:val="20"/>
          <w:szCs w:val="20"/>
        </w:rPr>
        <w:t>το Τμήμα Μαθηματικών του ΑΠΘ έχει στελεχωθεί</w:t>
      </w:r>
      <w:r>
        <w:rPr>
          <w:rFonts w:asciiTheme="majorHAnsi" w:eastAsia="Times New Roman" w:hAnsiTheme="majorHAnsi"/>
          <w:sz w:val="20"/>
          <w:szCs w:val="20"/>
        </w:rPr>
        <w:t>, κυρίως τα τελευταία χρόνια,</w:t>
      </w:r>
      <w:r w:rsidRPr="00BF2F11">
        <w:rPr>
          <w:rFonts w:asciiTheme="majorHAnsi" w:eastAsia="Times New Roman" w:hAnsiTheme="majorHAnsi"/>
          <w:sz w:val="20"/>
          <w:szCs w:val="20"/>
        </w:rPr>
        <w:t xml:space="preserve"> με νέο προσωπικό εξαιρετικά υψηλού επιστημονικού επιπέδου με μακρόχρονη εμπειρία σε Πανεπιστήμια του Εξωτερικού</w:t>
      </w:r>
      <w:r>
        <w:rPr>
          <w:rFonts w:asciiTheme="majorHAnsi" w:eastAsia="Times New Roman" w:hAnsiTheme="majorHAnsi"/>
          <w:sz w:val="20"/>
          <w:szCs w:val="20"/>
        </w:rPr>
        <w:t xml:space="preserve"> με διαρκή ενασχόληση, ενημέρωση και επιστημονική εξέλιξη στα αντικείμενά τους. Η δουλειά των μελών δεν είναι μόνο δημοσιευμένη σε κορυφαία παγκοσμίως επιστημονικά περιοδικά, αλλά βρίσκεται και σε άμεση σχέση με τα αντικείμενα διδασκαλίας του ΠΜΣ. </w:t>
      </w:r>
      <w:r w:rsidRPr="00F812E6">
        <w:rPr>
          <w:rFonts w:asciiTheme="majorHAnsi" w:eastAsia="Times New Roman" w:hAnsiTheme="majorHAnsi"/>
          <w:sz w:val="20"/>
          <w:szCs w:val="20"/>
        </w:rPr>
        <w:t>Οι διδάσκοντες</w:t>
      </w:r>
      <w:r>
        <w:rPr>
          <w:rFonts w:asciiTheme="majorHAnsi" w:eastAsia="Times New Roman" w:hAnsiTheme="majorHAnsi"/>
          <w:sz w:val="20"/>
          <w:szCs w:val="20"/>
        </w:rPr>
        <w:t>, σε σχέση με την διδασκαλία των αντικειμένων αυτή καθ’ αυτή, επιμορφώνονται περαιτέρω</w:t>
      </w:r>
      <w:r w:rsidRPr="00F812E6">
        <w:rPr>
          <w:rFonts w:asciiTheme="majorHAnsi" w:eastAsia="Times New Roman" w:hAnsiTheme="majorHAnsi"/>
          <w:sz w:val="20"/>
          <w:szCs w:val="20"/>
        </w:rPr>
        <w:t xml:space="preserve"> παρακολουθώντας τις εξελίξεις στο γνωστικό τους αντικείμε</w:t>
      </w:r>
      <w:r>
        <w:rPr>
          <w:rFonts w:asciiTheme="majorHAnsi" w:eastAsia="Times New Roman" w:hAnsiTheme="majorHAnsi"/>
          <w:sz w:val="20"/>
          <w:szCs w:val="20"/>
        </w:rPr>
        <w:t xml:space="preserve">νο, και επιτυγχάνουν </w:t>
      </w:r>
      <w:r>
        <w:rPr>
          <w:rFonts w:asciiTheme="majorHAnsi" w:eastAsia="Times New Roman" w:hAnsiTheme="majorHAnsi"/>
          <w:sz w:val="20"/>
          <w:szCs w:val="20"/>
        </w:rPr>
        <w:lastRenderedPageBreak/>
        <w:t>ταυτόχρονα ανάλ</w:t>
      </w:r>
      <w:bookmarkStart w:id="1" w:name="_GoBack"/>
      <w:bookmarkEnd w:id="1"/>
      <w:r>
        <w:rPr>
          <w:rFonts w:asciiTheme="majorHAnsi" w:eastAsia="Times New Roman" w:hAnsiTheme="majorHAnsi"/>
          <w:sz w:val="20"/>
          <w:szCs w:val="20"/>
        </w:rPr>
        <w:t>ογη</w:t>
      </w:r>
      <w:r w:rsidR="00964E2A">
        <w:rPr>
          <w:rFonts w:asciiTheme="majorHAnsi" w:eastAsia="Times New Roman" w:hAnsiTheme="majorHAnsi"/>
          <w:sz w:val="20"/>
          <w:szCs w:val="20"/>
        </w:rPr>
        <w:t xml:space="preserve"> μεταβολή</w:t>
      </w:r>
      <w:r w:rsidRPr="00F812E6">
        <w:rPr>
          <w:rFonts w:asciiTheme="majorHAnsi" w:eastAsia="Times New Roman" w:hAnsiTheme="majorHAnsi"/>
          <w:sz w:val="20"/>
          <w:szCs w:val="20"/>
        </w:rPr>
        <w:t xml:space="preserve"> </w:t>
      </w:r>
      <w:r w:rsidR="00964E2A">
        <w:rPr>
          <w:rFonts w:asciiTheme="majorHAnsi" w:eastAsia="Times New Roman" w:hAnsiTheme="majorHAnsi"/>
          <w:sz w:val="20"/>
          <w:szCs w:val="20"/>
        </w:rPr>
        <w:t>σ</w:t>
      </w:r>
      <w:r w:rsidRPr="00F812E6">
        <w:rPr>
          <w:rFonts w:asciiTheme="majorHAnsi" w:eastAsia="Times New Roman" w:hAnsiTheme="majorHAnsi"/>
          <w:sz w:val="20"/>
          <w:szCs w:val="20"/>
        </w:rPr>
        <w:t xml:space="preserve">τις μεθόδους διδασκαλίας </w:t>
      </w:r>
      <w:r w:rsidR="00964E2A">
        <w:rPr>
          <w:rFonts w:asciiTheme="majorHAnsi" w:eastAsia="Times New Roman" w:hAnsiTheme="majorHAnsi"/>
          <w:sz w:val="20"/>
          <w:szCs w:val="20"/>
        </w:rPr>
        <w:t>τους, συνδέοντας</w:t>
      </w:r>
      <w:r w:rsidRPr="00F812E6">
        <w:rPr>
          <w:rFonts w:asciiTheme="majorHAnsi" w:eastAsia="Times New Roman" w:hAnsiTheme="majorHAnsi"/>
          <w:sz w:val="20"/>
          <w:szCs w:val="20"/>
        </w:rPr>
        <w:t xml:space="preserve"> τη διδασκαλία των μεταπτυχιακών μαθημάτων με την έρευνα.</w:t>
      </w:r>
      <w:r w:rsidR="00964E2A">
        <w:rPr>
          <w:rFonts w:asciiTheme="majorHAnsi" w:eastAsia="Times New Roman" w:hAnsiTheme="majorHAnsi"/>
          <w:sz w:val="20"/>
          <w:szCs w:val="20"/>
        </w:rPr>
        <w:t xml:space="preserve"> </w:t>
      </w:r>
    </w:p>
    <w:p w14:paraId="4F3F40FD" w14:textId="22793387" w:rsidR="00964E2A" w:rsidRPr="00D11C31" w:rsidRDefault="00964E2A" w:rsidP="00964E2A">
      <w:pPr>
        <w:ind w:left="360"/>
        <w:jc w:val="both"/>
        <w:rPr>
          <w:rFonts w:asciiTheme="majorHAnsi" w:eastAsia="Times New Roman" w:hAnsiTheme="majorHAnsi"/>
          <w:sz w:val="20"/>
          <w:szCs w:val="20"/>
        </w:rPr>
      </w:pPr>
      <w:r>
        <w:rPr>
          <w:rFonts w:asciiTheme="majorHAnsi" w:eastAsia="Times New Roman" w:hAnsiTheme="majorHAnsi"/>
          <w:sz w:val="20"/>
          <w:szCs w:val="20"/>
        </w:rPr>
        <w:t xml:space="preserve">Όσων αφορά στα διάφορα μαθήματα-αντικείμενα που σχετίζονται με αφυπηρετήσεις διδασκόντων του ΠΜΣ/ ΔΠΜΣ, τα πιθανά κενά που δημιουργούνται καλύπτονται άμεσα και πλήρως από τα νεότερα μέλη με ποικίλους τρόπους. Πιο συγκεκριμένα, είτε γίνεται επιμόρφωση των τελευταίων από τους προηγούμενους (μέσω σημειώσεων </w:t>
      </w:r>
      <w:proofErr w:type="spellStart"/>
      <w:r>
        <w:rPr>
          <w:rFonts w:asciiTheme="majorHAnsi" w:eastAsia="Times New Roman" w:hAnsiTheme="majorHAnsi"/>
          <w:sz w:val="20"/>
          <w:szCs w:val="20"/>
        </w:rPr>
        <w:t>κτλ</w:t>
      </w:r>
      <w:proofErr w:type="spellEnd"/>
      <w:r>
        <w:rPr>
          <w:rFonts w:asciiTheme="majorHAnsi" w:eastAsia="Times New Roman" w:hAnsiTheme="majorHAnsi"/>
          <w:sz w:val="20"/>
          <w:szCs w:val="20"/>
        </w:rPr>
        <w:t>), είτε τα μαθήματα αυτά αντικαθίστανται από νεότερα, πιο γενικά και πιο σύγχρονα.</w:t>
      </w:r>
    </w:p>
    <w:p w14:paraId="7B62B384" w14:textId="6FC27190" w:rsidR="006001C8" w:rsidRDefault="005F05BB">
      <w:pPr>
        <w:rPr>
          <w:rFonts w:asciiTheme="majorHAnsi" w:eastAsia="Times New Roman" w:hAnsiTheme="majorHAnsi"/>
          <w:b/>
          <w:sz w:val="20"/>
          <w:szCs w:val="20"/>
        </w:rPr>
      </w:pPr>
      <w:r w:rsidRPr="00D11C31">
        <w:rPr>
          <w:rFonts w:asciiTheme="majorHAnsi" w:eastAsia="Times New Roman" w:hAnsiTheme="majorHAnsi"/>
          <w:b/>
          <w:sz w:val="20"/>
          <w:szCs w:val="20"/>
        </w:rPr>
        <w:t>Δ. Β</w:t>
      </w:r>
      <w:r w:rsidR="00BC36EE" w:rsidRPr="00D11C31">
        <w:rPr>
          <w:rFonts w:asciiTheme="majorHAnsi" w:eastAsia="Times New Roman" w:hAnsiTheme="majorHAnsi"/>
          <w:b/>
          <w:sz w:val="20"/>
          <w:szCs w:val="20"/>
        </w:rPr>
        <w:t>αθμός σύνδεσης της διδασκαλίας με την έρευνα</w:t>
      </w:r>
      <w:r w:rsidRPr="00D11C31">
        <w:rPr>
          <w:rFonts w:asciiTheme="majorHAnsi" w:eastAsia="Times New Roman" w:hAnsiTheme="majorHAnsi"/>
          <w:b/>
          <w:sz w:val="20"/>
          <w:szCs w:val="20"/>
        </w:rPr>
        <w:t xml:space="preserve"> (τεκμηρίωση</w:t>
      </w:r>
      <w:r w:rsidR="004C7997">
        <w:rPr>
          <w:rFonts w:asciiTheme="majorHAnsi" w:eastAsia="Times New Roman" w:hAnsiTheme="majorHAnsi"/>
          <w:b/>
          <w:sz w:val="20"/>
          <w:szCs w:val="20"/>
        </w:rPr>
        <w:t xml:space="preserve"> και </w:t>
      </w:r>
      <w:r w:rsidRPr="00D11C31">
        <w:rPr>
          <w:rFonts w:asciiTheme="majorHAnsi" w:eastAsia="Times New Roman" w:hAnsiTheme="majorHAnsi"/>
          <w:b/>
          <w:sz w:val="20"/>
          <w:szCs w:val="20"/>
        </w:rPr>
        <w:t>περιγραφή)</w:t>
      </w:r>
    </w:p>
    <w:p w14:paraId="118B8665" w14:textId="5BF5FCB1" w:rsidR="00BE3DCC" w:rsidRPr="00BE3DCC" w:rsidRDefault="00D3597D" w:rsidP="00D3597D">
      <w:pPr>
        <w:jc w:val="both"/>
        <w:rPr>
          <w:rFonts w:asciiTheme="majorHAnsi" w:eastAsia="Times New Roman" w:hAnsiTheme="majorHAnsi"/>
          <w:sz w:val="20"/>
          <w:szCs w:val="20"/>
        </w:rPr>
      </w:pPr>
      <w:r>
        <w:rPr>
          <w:rFonts w:asciiTheme="majorHAnsi" w:eastAsia="Times New Roman" w:hAnsiTheme="majorHAnsi"/>
          <w:sz w:val="20"/>
          <w:szCs w:val="20"/>
        </w:rPr>
        <w:t xml:space="preserve">Ένα πρόγραμμα μεταπτυχιακών σπουδών επιτρέπει στους </w:t>
      </w:r>
      <w:proofErr w:type="spellStart"/>
      <w:r>
        <w:rPr>
          <w:rFonts w:asciiTheme="majorHAnsi" w:eastAsia="Times New Roman" w:hAnsiTheme="majorHAnsi"/>
          <w:sz w:val="20"/>
          <w:szCs w:val="20"/>
        </w:rPr>
        <w:t>διδάσκοντές</w:t>
      </w:r>
      <w:proofErr w:type="spellEnd"/>
      <w:r>
        <w:rPr>
          <w:rFonts w:asciiTheme="majorHAnsi" w:eastAsia="Times New Roman" w:hAnsiTheme="majorHAnsi"/>
          <w:sz w:val="20"/>
          <w:szCs w:val="20"/>
        </w:rPr>
        <w:t xml:space="preserve"> του να φέρουν το ερευνητικό τους αντικείμενο πιο κοντά στους φοιτητές. Ανάλογα, το Π</w:t>
      </w:r>
      <w:r w:rsidR="00987563">
        <w:rPr>
          <w:rFonts w:asciiTheme="majorHAnsi" w:eastAsia="Times New Roman" w:hAnsiTheme="majorHAnsi"/>
          <w:sz w:val="20"/>
          <w:szCs w:val="20"/>
        </w:rPr>
        <w:t>.</w:t>
      </w:r>
      <w:r>
        <w:rPr>
          <w:rFonts w:asciiTheme="majorHAnsi" w:eastAsia="Times New Roman" w:hAnsiTheme="majorHAnsi"/>
          <w:sz w:val="20"/>
          <w:szCs w:val="20"/>
        </w:rPr>
        <w:t>Μ</w:t>
      </w:r>
      <w:r w:rsidR="00987563">
        <w:rPr>
          <w:rFonts w:asciiTheme="majorHAnsi" w:eastAsia="Times New Roman" w:hAnsiTheme="majorHAnsi"/>
          <w:sz w:val="20"/>
          <w:szCs w:val="20"/>
        </w:rPr>
        <w:t>.</w:t>
      </w:r>
      <w:r>
        <w:rPr>
          <w:rFonts w:asciiTheme="majorHAnsi" w:eastAsia="Times New Roman" w:hAnsiTheme="majorHAnsi"/>
          <w:sz w:val="20"/>
          <w:szCs w:val="20"/>
        </w:rPr>
        <w:t>Σ</w:t>
      </w:r>
      <w:r w:rsidR="00987563">
        <w:rPr>
          <w:rFonts w:asciiTheme="majorHAnsi" w:eastAsia="Times New Roman" w:hAnsiTheme="majorHAnsi"/>
          <w:sz w:val="20"/>
          <w:szCs w:val="20"/>
        </w:rPr>
        <w:t>.</w:t>
      </w:r>
      <w:r>
        <w:rPr>
          <w:rFonts w:asciiTheme="majorHAnsi" w:eastAsia="Times New Roman" w:hAnsiTheme="majorHAnsi"/>
          <w:sz w:val="20"/>
          <w:szCs w:val="20"/>
        </w:rPr>
        <w:t xml:space="preserve"> του Τμήματος Μαθηματικών, δίνει τη δυνατότητα, με ποικίλους τρόπους</w:t>
      </w:r>
      <w:r w:rsidR="007B0C19">
        <w:rPr>
          <w:rFonts w:asciiTheme="majorHAnsi" w:eastAsia="Times New Roman" w:hAnsiTheme="majorHAnsi"/>
          <w:sz w:val="20"/>
          <w:szCs w:val="20"/>
        </w:rPr>
        <w:t>,</w:t>
      </w:r>
      <w:r>
        <w:rPr>
          <w:rFonts w:asciiTheme="majorHAnsi" w:eastAsia="Times New Roman" w:hAnsiTheme="majorHAnsi"/>
          <w:sz w:val="20"/>
          <w:szCs w:val="20"/>
        </w:rPr>
        <w:t xml:space="preserve"> να επιτευχθεί αυτό. Για παράδειγμα, ακριβώς επειδή η γενική γνώση έχει αποκτηθεί κατά τη διάρκεια των προπτυχιακών σπουδών και οι φοιτητές έχουν ήδη κάποια μαθηματική εμπειρία και ωριμότητα,</w:t>
      </w:r>
      <w:r w:rsidR="007B0C19">
        <w:rPr>
          <w:rFonts w:asciiTheme="majorHAnsi" w:eastAsia="Times New Roman" w:hAnsiTheme="majorHAnsi"/>
          <w:sz w:val="20"/>
          <w:szCs w:val="20"/>
        </w:rPr>
        <w:t xml:space="preserve"> είναι πιο εύκολο να εισαχθούν σε ένα ερευνητικό θέμα. Ακριβώς επειδή τα αντικείμενα διδασκαλίας είναι πολύ σύγχρονα, σε πολλά από αυτά μπορεί κάποιος να παρουσιάσει και αποτελέσματα αλλά και προβλήματα της έρευνας. Μάλιστα, ειδικότερα στα μαθηματικά, μέσω εργασιών που ανατίθενται στους φοιτητές, στις οποίες οι τελευταίοι καλούνται να μελετήσουν κάποια ερευνητική εργασία προκειμένου είτε να γράψουν είτε ακόμα και να παρουσιάσουν ένα θέμα, υπάρχει άμεση επαφή με την έρευνα της εκάστοτε περιοχής.</w:t>
      </w:r>
      <w:r w:rsidR="00987563">
        <w:rPr>
          <w:rFonts w:asciiTheme="majorHAnsi" w:eastAsia="Times New Roman" w:hAnsiTheme="majorHAnsi"/>
          <w:sz w:val="20"/>
          <w:szCs w:val="20"/>
        </w:rPr>
        <w:t xml:space="preserve"> Για το λόγο αυτό εισάγουμε το θεσμό του ερευνητικού σεμιναρίου (βλέπε αντίστοιχο εδάφιο στον κανονισμό του Π.Μ.Σ.)</w:t>
      </w:r>
      <w:r>
        <w:rPr>
          <w:rFonts w:asciiTheme="majorHAnsi" w:eastAsia="Times New Roman" w:hAnsiTheme="majorHAnsi"/>
          <w:sz w:val="20"/>
          <w:szCs w:val="20"/>
        </w:rPr>
        <w:t xml:space="preserve"> </w:t>
      </w:r>
      <w:r w:rsidR="007B0C19">
        <w:rPr>
          <w:rFonts w:asciiTheme="majorHAnsi" w:eastAsia="Times New Roman" w:hAnsiTheme="majorHAnsi"/>
          <w:sz w:val="20"/>
          <w:szCs w:val="20"/>
        </w:rPr>
        <w:t>Τέλος, το τρίτο, και τελευταίο, εξάμηνο του προγράμματος του Π</w:t>
      </w:r>
      <w:r w:rsidR="00987563">
        <w:rPr>
          <w:rFonts w:asciiTheme="majorHAnsi" w:eastAsia="Times New Roman" w:hAnsiTheme="majorHAnsi"/>
          <w:sz w:val="20"/>
          <w:szCs w:val="20"/>
        </w:rPr>
        <w:t>.</w:t>
      </w:r>
      <w:r w:rsidR="007B0C19">
        <w:rPr>
          <w:rFonts w:asciiTheme="majorHAnsi" w:eastAsia="Times New Roman" w:hAnsiTheme="majorHAnsi"/>
          <w:sz w:val="20"/>
          <w:szCs w:val="20"/>
        </w:rPr>
        <w:t>Μ</w:t>
      </w:r>
      <w:r w:rsidR="00987563">
        <w:rPr>
          <w:rFonts w:asciiTheme="majorHAnsi" w:eastAsia="Times New Roman" w:hAnsiTheme="majorHAnsi"/>
          <w:sz w:val="20"/>
          <w:szCs w:val="20"/>
        </w:rPr>
        <w:t>.</w:t>
      </w:r>
      <w:r w:rsidR="007B0C19">
        <w:rPr>
          <w:rFonts w:asciiTheme="majorHAnsi" w:eastAsia="Times New Roman" w:hAnsiTheme="majorHAnsi"/>
          <w:sz w:val="20"/>
          <w:szCs w:val="20"/>
        </w:rPr>
        <w:t>Σ</w:t>
      </w:r>
      <w:r w:rsidR="00987563">
        <w:rPr>
          <w:rFonts w:asciiTheme="majorHAnsi" w:eastAsia="Times New Roman" w:hAnsiTheme="majorHAnsi"/>
          <w:sz w:val="20"/>
          <w:szCs w:val="20"/>
        </w:rPr>
        <w:t>.</w:t>
      </w:r>
      <w:r w:rsidR="007B0C19">
        <w:rPr>
          <w:rFonts w:asciiTheme="majorHAnsi" w:eastAsia="Times New Roman" w:hAnsiTheme="majorHAnsi"/>
          <w:sz w:val="20"/>
          <w:szCs w:val="20"/>
        </w:rPr>
        <w:t xml:space="preserve">, στο οποίο οι φοιτητές </w:t>
      </w:r>
      <w:r w:rsidR="00E654E5">
        <w:rPr>
          <w:rFonts w:asciiTheme="majorHAnsi" w:eastAsia="Times New Roman" w:hAnsiTheme="majorHAnsi"/>
          <w:sz w:val="20"/>
          <w:szCs w:val="20"/>
        </w:rPr>
        <w:t>καλούνται να εργαστούν</w:t>
      </w:r>
      <w:r w:rsidR="007B0C19">
        <w:rPr>
          <w:rFonts w:asciiTheme="majorHAnsi" w:eastAsia="Times New Roman" w:hAnsiTheme="majorHAnsi"/>
          <w:sz w:val="20"/>
          <w:szCs w:val="20"/>
        </w:rPr>
        <w:t xml:space="preserve"> πάνω στη μελέτη και συγγραφή της διπλωματικής τους εργασίας, μπορεί να δράσει ως προθάλαμος έρευνας πάνω σε θέμα σχετικό της προαναφερθείσας εργασίας. </w:t>
      </w:r>
    </w:p>
    <w:p w14:paraId="148DC977" w14:textId="60B35479" w:rsidR="00BC36EE" w:rsidRPr="00D11C31" w:rsidRDefault="005F05BB">
      <w:pPr>
        <w:rPr>
          <w:rFonts w:asciiTheme="majorHAnsi" w:eastAsia="MgHelveticaUCPol" w:hAnsiTheme="majorHAnsi" w:cs="MgHelveticaUCPol"/>
          <w:b/>
          <w:sz w:val="20"/>
          <w:szCs w:val="20"/>
        </w:rPr>
      </w:pPr>
      <w:r w:rsidRPr="00D11C31">
        <w:rPr>
          <w:rFonts w:asciiTheme="majorHAnsi" w:eastAsia="Times New Roman" w:hAnsiTheme="majorHAnsi"/>
          <w:b/>
          <w:sz w:val="20"/>
          <w:szCs w:val="20"/>
        </w:rPr>
        <w:t xml:space="preserve">Ε. </w:t>
      </w:r>
      <w:r w:rsidR="00BC36EE" w:rsidRPr="00D11C31">
        <w:rPr>
          <w:rFonts w:asciiTheme="majorHAnsi" w:eastAsia="Times New Roman" w:hAnsiTheme="majorHAnsi"/>
          <w:b/>
          <w:sz w:val="20"/>
          <w:szCs w:val="20"/>
        </w:rPr>
        <w:t xml:space="preserve">Οι στόχοι του </w:t>
      </w:r>
      <w:r w:rsidR="00C72D81" w:rsidRPr="00C72D81">
        <w:rPr>
          <w:rFonts w:asciiTheme="majorHAnsi" w:eastAsia="Times New Roman" w:hAnsiTheme="majorHAnsi"/>
          <w:b/>
          <w:sz w:val="20"/>
          <w:szCs w:val="20"/>
        </w:rPr>
        <w:t>Π.Μ.Σ./Δ.Π.Μ.Σ.</w:t>
      </w:r>
      <w:r w:rsidR="00C72D81">
        <w:rPr>
          <w:rFonts w:asciiTheme="majorHAnsi" w:eastAsia="Times New Roman" w:hAnsiTheme="majorHAnsi"/>
          <w:b/>
          <w:sz w:val="20"/>
          <w:szCs w:val="20"/>
        </w:rPr>
        <w:t xml:space="preserve"> </w:t>
      </w:r>
      <w:r w:rsidR="00BC36EE" w:rsidRPr="00D11C31">
        <w:rPr>
          <w:rFonts w:asciiTheme="majorHAnsi" w:eastAsia="Times New Roman" w:hAnsiTheme="majorHAnsi"/>
          <w:b/>
          <w:sz w:val="20"/>
          <w:szCs w:val="20"/>
        </w:rPr>
        <w:t>και τα κριτήρια βάσει των οποίων θα αξιολογηθεί</w:t>
      </w:r>
      <w:r w:rsidR="00F9492F">
        <w:rPr>
          <w:rFonts w:asciiTheme="majorHAnsi" w:eastAsia="Times New Roman" w:hAnsiTheme="majorHAnsi"/>
          <w:b/>
          <w:sz w:val="20"/>
          <w:szCs w:val="20"/>
        </w:rPr>
        <w:t xml:space="preserve">/πιστοποιηθεί </w:t>
      </w:r>
      <w:r w:rsidR="00BC36EE" w:rsidRPr="00D11C31">
        <w:rPr>
          <w:rFonts w:asciiTheme="majorHAnsi" w:eastAsia="Times New Roman" w:hAnsiTheme="majorHAnsi"/>
          <w:b/>
          <w:sz w:val="20"/>
          <w:szCs w:val="20"/>
        </w:rPr>
        <w:t xml:space="preserve"> σύμφωνα με το άρθρο </w:t>
      </w:r>
      <w:r w:rsidR="00F9492F">
        <w:rPr>
          <w:rFonts w:asciiTheme="majorHAnsi" w:eastAsia="Times New Roman" w:hAnsiTheme="majorHAnsi"/>
          <w:b/>
          <w:sz w:val="20"/>
          <w:szCs w:val="20"/>
        </w:rPr>
        <w:t>87</w:t>
      </w:r>
      <w:r w:rsidR="00BC36EE" w:rsidRPr="00D11C31">
        <w:rPr>
          <w:rFonts w:asciiTheme="majorHAnsi" w:eastAsia="Times New Roman" w:hAnsiTheme="majorHAnsi"/>
          <w:b/>
          <w:sz w:val="20"/>
          <w:szCs w:val="20"/>
        </w:rPr>
        <w:t xml:space="preserve"> του Ν. </w:t>
      </w:r>
      <w:r w:rsidR="00BC36EE" w:rsidRPr="00D11C31">
        <w:rPr>
          <w:rFonts w:asciiTheme="majorHAnsi" w:eastAsia="MgHelveticaUCPol" w:hAnsiTheme="majorHAnsi" w:cs="MgHelveticaUCPol"/>
          <w:b/>
          <w:sz w:val="20"/>
          <w:szCs w:val="20"/>
        </w:rPr>
        <w:t>4</w:t>
      </w:r>
      <w:r w:rsidR="00F9492F">
        <w:rPr>
          <w:rFonts w:asciiTheme="majorHAnsi" w:eastAsia="MgHelveticaUCPol" w:hAnsiTheme="majorHAnsi" w:cs="MgHelveticaUCPol"/>
          <w:b/>
          <w:sz w:val="20"/>
          <w:szCs w:val="20"/>
        </w:rPr>
        <w:t>957</w:t>
      </w:r>
      <w:r w:rsidR="00F51665">
        <w:rPr>
          <w:rFonts w:asciiTheme="majorHAnsi" w:eastAsia="MgHelveticaUCPol" w:hAnsiTheme="majorHAnsi" w:cs="MgHelveticaUCPol"/>
          <w:b/>
          <w:sz w:val="20"/>
          <w:szCs w:val="20"/>
        </w:rPr>
        <w:t>/2022</w:t>
      </w:r>
      <w:r w:rsidR="00E33559">
        <w:rPr>
          <w:rFonts w:asciiTheme="majorHAnsi" w:eastAsia="MgHelveticaUCPol" w:hAnsiTheme="majorHAnsi" w:cs="MgHelveticaUCPol"/>
          <w:b/>
          <w:sz w:val="20"/>
          <w:szCs w:val="20"/>
        </w:rPr>
        <w:t>.</w:t>
      </w:r>
      <w:r w:rsidR="00F51665">
        <w:rPr>
          <w:rFonts w:asciiTheme="majorHAnsi" w:eastAsia="MgHelveticaUCPol" w:hAnsiTheme="majorHAnsi" w:cs="MgHelveticaUCPol"/>
          <w:b/>
          <w:sz w:val="20"/>
          <w:szCs w:val="20"/>
        </w:rPr>
        <w:tab/>
      </w:r>
    </w:p>
    <w:p w14:paraId="5A44459F" w14:textId="6D85DDEC" w:rsidR="005F4666" w:rsidRDefault="005F4666" w:rsidP="00C23E08">
      <w:pPr>
        <w:jc w:val="both"/>
        <w:rPr>
          <w:rFonts w:asciiTheme="majorHAnsi" w:eastAsia="Times New Roman" w:hAnsiTheme="majorHAnsi"/>
          <w:sz w:val="20"/>
          <w:szCs w:val="20"/>
        </w:rPr>
      </w:pPr>
      <w:r>
        <w:rPr>
          <w:rFonts w:asciiTheme="majorHAnsi" w:eastAsia="Times New Roman" w:hAnsiTheme="majorHAnsi"/>
          <w:sz w:val="20"/>
          <w:szCs w:val="20"/>
        </w:rPr>
        <w:t>Όπως αναφέρθηκε προηγουμένως, οι στόχοι του Π</w:t>
      </w:r>
      <w:r w:rsidR="00222D64">
        <w:rPr>
          <w:rFonts w:asciiTheme="majorHAnsi" w:eastAsia="Times New Roman" w:hAnsiTheme="majorHAnsi"/>
          <w:sz w:val="20"/>
          <w:szCs w:val="20"/>
        </w:rPr>
        <w:t>.</w:t>
      </w:r>
      <w:r>
        <w:rPr>
          <w:rFonts w:asciiTheme="majorHAnsi" w:eastAsia="Times New Roman" w:hAnsiTheme="majorHAnsi"/>
          <w:sz w:val="20"/>
          <w:szCs w:val="20"/>
        </w:rPr>
        <w:t>Μ</w:t>
      </w:r>
      <w:r w:rsidR="00222D64">
        <w:rPr>
          <w:rFonts w:asciiTheme="majorHAnsi" w:eastAsia="Times New Roman" w:hAnsiTheme="majorHAnsi"/>
          <w:sz w:val="20"/>
          <w:szCs w:val="20"/>
        </w:rPr>
        <w:t>.</w:t>
      </w:r>
      <w:r>
        <w:rPr>
          <w:rFonts w:asciiTheme="majorHAnsi" w:eastAsia="Times New Roman" w:hAnsiTheme="majorHAnsi"/>
          <w:sz w:val="20"/>
          <w:szCs w:val="20"/>
        </w:rPr>
        <w:t>Σ</w:t>
      </w:r>
      <w:r w:rsidR="00222D64">
        <w:rPr>
          <w:rFonts w:asciiTheme="majorHAnsi" w:eastAsia="Times New Roman" w:hAnsiTheme="majorHAnsi"/>
          <w:sz w:val="20"/>
          <w:szCs w:val="20"/>
        </w:rPr>
        <w:t>.</w:t>
      </w:r>
      <w:r>
        <w:rPr>
          <w:rFonts w:asciiTheme="majorHAnsi" w:eastAsia="Times New Roman" w:hAnsiTheme="majorHAnsi"/>
          <w:sz w:val="20"/>
          <w:szCs w:val="20"/>
        </w:rPr>
        <w:t xml:space="preserve"> είναι οι εξής:</w:t>
      </w:r>
    </w:p>
    <w:p w14:paraId="069D35DB" w14:textId="77777777" w:rsidR="005F4666" w:rsidRDefault="005F4666" w:rsidP="005F4666">
      <w:pPr>
        <w:pStyle w:val="ListParagraph"/>
        <w:numPr>
          <w:ilvl w:val="0"/>
          <w:numId w:val="2"/>
        </w:numPr>
        <w:jc w:val="both"/>
        <w:rPr>
          <w:rFonts w:asciiTheme="majorHAnsi" w:eastAsia="Times New Roman" w:hAnsiTheme="majorHAnsi"/>
          <w:sz w:val="20"/>
          <w:szCs w:val="20"/>
        </w:rPr>
      </w:pPr>
      <w:r>
        <w:rPr>
          <w:rFonts w:asciiTheme="majorHAnsi" w:eastAsia="Times New Roman" w:hAnsiTheme="majorHAnsi"/>
          <w:sz w:val="20"/>
          <w:szCs w:val="20"/>
        </w:rPr>
        <w:lastRenderedPageBreak/>
        <w:t>Ά</w:t>
      </w:r>
      <w:r w:rsidR="00C23E08" w:rsidRPr="005F4666">
        <w:rPr>
          <w:rFonts w:asciiTheme="majorHAnsi" w:eastAsia="Times New Roman" w:hAnsiTheme="majorHAnsi"/>
          <w:sz w:val="20"/>
          <w:szCs w:val="20"/>
        </w:rPr>
        <w:t xml:space="preserve">ριστη επιστημονική κατάρτιση των φοιτητών μας </w:t>
      </w:r>
      <w:r>
        <w:rPr>
          <w:rFonts w:asciiTheme="majorHAnsi" w:eastAsia="Times New Roman" w:hAnsiTheme="majorHAnsi"/>
          <w:sz w:val="20"/>
          <w:szCs w:val="20"/>
        </w:rPr>
        <w:t>ώστε αυτοί</w:t>
      </w:r>
      <w:r w:rsidR="00C23E08" w:rsidRPr="005F4666">
        <w:rPr>
          <w:rFonts w:asciiTheme="majorHAnsi" w:eastAsia="Times New Roman" w:hAnsiTheme="majorHAnsi"/>
          <w:sz w:val="20"/>
          <w:szCs w:val="20"/>
        </w:rPr>
        <w:t xml:space="preserve"> να μπορούν να συμμετάσχουν σε διάφορες δραστηριότητες (συνέδρια, επισκέψεις) προκειμένου να αρχίζουν να χτίζουν ένα σταθερό και επιτυχημένο ακαδημαϊκό προφίλ.</w:t>
      </w:r>
    </w:p>
    <w:p w14:paraId="44B978CB" w14:textId="7AE99774" w:rsidR="00552AA5" w:rsidRDefault="005F4666" w:rsidP="005F4666">
      <w:pPr>
        <w:pStyle w:val="ListParagraph"/>
        <w:numPr>
          <w:ilvl w:val="0"/>
          <w:numId w:val="2"/>
        </w:numPr>
        <w:jc w:val="both"/>
        <w:rPr>
          <w:rFonts w:asciiTheme="majorHAnsi" w:eastAsia="Times New Roman" w:hAnsiTheme="majorHAnsi"/>
          <w:sz w:val="20"/>
          <w:szCs w:val="20"/>
        </w:rPr>
      </w:pPr>
      <w:r>
        <w:rPr>
          <w:rFonts w:asciiTheme="majorHAnsi" w:eastAsia="Times New Roman" w:hAnsiTheme="majorHAnsi"/>
          <w:sz w:val="20"/>
          <w:szCs w:val="20"/>
        </w:rPr>
        <w:t xml:space="preserve">Διδασκαλία θεωρητικής αλλά και εφαρμοσμένης μαθηματικής επιστήμης </w:t>
      </w:r>
      <w:r w:rsidR="00552AA5">
        <w:rPr>
          <w:rFonts w:asciiTheme="majorHAnsi" w:eastAsia="Times New Roman" w:hAnsiTheme="majorHAnsi"/>
          <w:sz w:val="20"/>
          <w:szCs w:val="20"/>
        </w:rPr>
        <w:t>προκειμένου</w:t>
      </w:r>
      <w:r w:rsidR="00552AA5" w:rsidRPr="005F4666">
        <w:rPr>
          <w:rFonts w:asciiTheme="majorHAnsi" w:eastAsia="Times New Roman" w:hAnsiTheme="majorHAnsi"/>
          <w:sz w:val="20"/>
          <w:szCs w:val="20"/>
        </w:rPr>
        <w:t xml:space="preserve"> οι απόφοιτοί μας να είναι ικανοί να εργασθούν σε διάφορους τομείς της κοινωνίας</w:t>
      </w:r>
      <w:r w:rsidR="00552AA5">
        <w:rPr>
          <w:rFonts w:asciiTheme="majorHAnsi" w:eastAsia="Times New Roman" w:hAnsiTheme="majorHAnsi"/>
          <w:sz w:val="20"/>
          <w:szCs w:val="20"/>
        </w:rPr>
        <w:t xml:space="preserve">, όπως </w:t>
      </w:r>
      <w:r w:rsidR="00552AA5" w:rsidRPr="005F4666">
        <w:rPr>
          <w:rFonts w:asciiTheme="majorHAnsi" w:eastAsia="Times New Roman" w:hAnsiTheme="majorHAnsi"/>
          <w:sz w:val="20"/>
          <w:szCs w:val="20"/>
        </w:rPr>
        <w:t>τράπεζες, εταιρείες που χρίζουν υπαλλήλους με πρακτικές και θεωρητικές γνώσεις στους υπολογιστές,</w:t>
      </w:r>
      <w:r w:rsidR="00FE7731">
        <w:rPr>
          <w:rFonts w:asciiTheme="majorHAnsi" w:eastAsia="Times New Roman" w:hAnsiTheme="majorHAnsi"/>
          <w:sz w:val="20"/>
          <w:szCs w:val="20"/>
        </w:rPr>
        <w:t xml:space="preserve"> τον προγραμματισμό,</w:t>
      </w:r>
      <w:r w:rsidR="00552AA5">
        <w:rPr>
          <w:rFonts w:asciiTheme="majorHAnsi" w:eastAsia="Times New Roman" w:hAnsiTheme="majorHAnsi"/>
          <w:sz w:val="20"/>
          <w:szCs w:val="20"/>
        </w:rPr>
        <w:t xml:space="preserve"> τη στατιστική</w:t>
      </w:r>
      <w:r w:rsidR="00552AA5" w:rsidRPr="005F4666">
        <w:rPr>
          <w:rFonts w:asciiTheme="majorHAnsi" w:eastAsia="Times New Roman" w:hAnsiTheme="majorHAnsi"/>
          <w:sz w:val="20"/>
          <w:szCs w:val="20"/>
        </w:rPr>
        <w:t xml:space="preserve"> κτλ</w:t>
      </w:r>
      <w:r w:rsidR="00552AA5">
        <w:rPr>
          <w:rFonts w:asciiTheme="majorHAnsi" w:eastAsia="Times New Roman" w:hAnsiTheme="majorHAnsi"/>
          <w:sz w:val="20"/>
          <w:szCs w:val="20"/>
        </w:rPr>
        <w:t>.</w:t>
      </w:r>
    </w:p>
    <w:p w14:paraId="4C017C9E" w14:textId="45E2FAFB" w:rsidR="00552AA5" w:rsidRDefault="00552AA5" w:rsidP="005F4666">
      <w:pPr>
        <w:pStyle w:val="ListParagraph"/>
        <w:numPr>
          <w:ilvl w:val="0"/>
          <w:numId w:val="2"/>
        </w:numPr>
        <w:jc w:val="both"/>
        <w:rPr>
          <w:rFonts w:asciiTheme="majorHAnsi" w:eastAsia="Times New Roman" w:hAnsiTheme="majorHAnsi"/>
          <w:sz w:val="20"/>
          <w:szCs w:val="20"/>
        </w:rPr>
      </w:pPr>
      <w:r>
        <w:rPr>
          <w:rFonts w:asciiTheme="majorHAnsi" w:eastAsia="Times New Roman" w:hAnsiTheme="majorHAnsi"/>
          <w:sz w:val="20"/>
          <w:szCs w:val="20"/>
        </w:rPr>
        <w:t>Α</w:t>
      </w:r>
      <w:r w:rsidR="00C23E08" w:rsidRPr="005F4666">
        <w:rPr>
          <w:rFonts w:asciiTheme="majorHAnsi" w:eastAsia="Times New Roman" w:hAnsiTheme="majorHAnsi"/>
          <w:sz w:val="20"/>
          <w:szCs w:val="20"/>
        </w:rPr>
        <w:t>πόκτηση συγκεκριμένων</w:t>
      </w:r>
      <w:r>
        <w:rPr>
          <w:rFonts w:asciiTheme="majorHAnsi" w:eastAsia="Times New Roman" w:hAnsiTheme="majorHAnsi"/>
          <w:sz w:val="20"/>
          <w:szCs w:val="20"/>
        </w:rPr>
        <w:t xml:space="preserve"> θεωρητικών και</w:t>
      </w:r>
      <w:r w:rsidR="00FE7731">
        <w:rPr>
          <w:rFonts w:asciiTheme="majorHAnsi" w:eastAsia="Times New Roman" w:hAnsiTheme="majorHAnsi"/>
          <w:sz w:val="20"/>
          <w:szCs w:val="20"/>
        </w:rPr>
        <w:t xml:space="preserve"> τεχνικών γνώσεων καθώς και</w:t>
      </w:r>
      <w:r w:rsidR="00C23E08" w:rsidRPr="005F4666">
        <w:rPr>
          <w:rFonts w:asciiTheme="majorHAnsi" w:eastAsia="Times New Roman" w:hAnsiTheme="majorHAnsi"/>
          <w:sz w:val="20"/>
          <w:szCs w:val="20"/>
        </w:rPr>
        <w:t xml:space="preserve"> προσόντων</w:t>
      </w:r>
      <w:r>
        <w:rPr>
          <w:rFonts w:asciiTheme="majorHAnsi" w:eastAsia="Times New Roman" w:hAnsiTheme="majorHAnsi"/>
          <w:sz w:val="20"/>
          <w:szCs w:val="20"/>
        </w:rPr>
        <w:t>, ώστε οι φοιτητές μας</w:t>
      </w:r>
      <w:r w:rsidR="00C23E08" w:rsidRPr="005F4666">
        <w:rPr>
          <w:rFonts w:asciiTheme="majorHAnsi" w:eastAsia="Times New Roman" w:hAnsiTheme="majorHAnsi"/>
          <w:sz w:val="20"/>
          <w:szCs w:val="20"/>
        </w:rPr>
        <w:t xml:space="preserve"> να είναι σε θέση να μπορούν να παρακολουθήσουν προγράμματα επιμόρφωσης και σε ελάχιστους μήνες να είναι σε θέση να ανταπεξέλθουν στις εκάστοτε καταστάσεις και ανάγκες</w:t>
      </w:r>
      <w:r>
        <w:rPr>
          <w:rFonts w:asciiTheme="majorHAnsi" w:eastAsia="Times New Roman" w:hAnsiTheme="majorHAnsi"/>
          <w:sz w:val="20"/>
          <w:szCs w:val="20"/>
        </w:rPr>
        <w:t xml:space="preserve"> ακό</w:t>
      </w:r>
      <w:r w:rsidR="00FE7731">
        <w:rPr>
          <w:rFonts w:asciiTheme="majorHAnsi" w:eastAsia="Times New Roman" w:hAnsiTheme="majorHAnsi"/>
          <w:sz w:val="20"/>
          <w:szCs w:val="20"/>
        </w:rPr>
        <w:t xml:space="preserve">μα και πολύ απαιτητικών θέσεων, για παράδειγμα στην </w:t>
      </w:r>
      <w:r w:rsidRPr="00552AA5">
        <w:rPr>
          <w:rFonts w:asciiTheme="majorHAnsi" w:eastAsia="Times New Roman" w:hAnsiTheme="majorHAnsi"/>
          <w:sz w:val="20"/>
          <w:szCs w:val="20"/>
        </w:rPr>
        <w:t>αν</w:t>
      </w:r>
      <w:r>
        <w:rPr>
          <w:rFonts w:asciiTheme="majorHAnsi" w:eastAsia="Times New Roman" w:hAnsiTheme="majorHAnsi"/>
          <w:sz w:val="20"/>
          <w:szCs w:val="20"/>
        </w:rPr>
        <w:t>άλυση δεδομένων</w:t>
      </w:r>
      <w:r w:rsidR="00FE7731">
        <w:rPr>
          <w:rFonts w:asciiTheme="majorHAnsi" w:eastAsia="Times New Roman" w:hAnsiTheme="majorHAnsi"/>
          <w:sz w:val="20"/>
          <w:szCs w:val="20"/>
        </w:rPr>
        <w:t>. Οι απόφοιτοι του νέου Π.Μ.Σ.</w:t>
      </w:r>
      <w:r w:rsidR="00800927">
        <w:rPr>
          <w:rFonts w:asciiTheme="majorHAnsi" w:eastAsia="Times New Roman" w:hAnsiTheme="majorHAnsi"/>
          <w:sz w:val="20"/>
          <w:szCs w:val="20"/>
        </w:rPr>
        <w:t xml:space="preserve"> θα παρακολουθήσουν εξιδεικευμένα μαθήματα, όπως </w:t>
      </w:r>
      <w:proofErr w:type="spellStart"/>
      <w:r w:rsidR="00800927">
        <w:rPr>
          <w:rFonts w:asciiTheme="majorHAnsi" w:eastAsia="Times New Roman" w:hAnsiTheme="majorHAnsi"/>
          <w:sz w:val="20"/>
          <w:szCs w:val="20"/>
        </w:rPr>
        <w:t>Τοπολογική</w:t>
      </w:r>
      <w:proofErr w:type="spellEnd"/>
      <w:r w:rsidR="00800927">
        <w:rPr>
          <w:rFonts w:asciiTheme="majorHAnsi" w:eastAsia="Times New Roman" w:hAnsiTheme="majorHAnsi"/>
          <w:sz w:val="20"/>
          <w:szCs w:val="20"/>
        </w:rPr>
        <w:t xml:space="preserve"> Ανάλυση Δ</w:t>
      </w:r>
      <w:r w:rsidR="001028A5">
        <w:rPr>
          <w:rFonts w:asciiTheme="majorHAnsi" w:eastAsia="Times New Roman" w:hAnsiTheme="majorHAnsi"/>
          <w:sz w:val="20"/>
          <w:szCs w:val="20"/>
        </w:rPr>
        <w:t>εδομένων. Ο στόχος είναι</w:t>
      </w:r>
      <w:r w:rsidR="00800927">
        <w:rPr>
          <w:rFonts w:asciiTheme="majorHAnsi" w:eastAsia="Times New Roman" w:hAnsiTheme="majorHAnsi"/>
          <w:sz w:val="20"/>
          <w:szCs w:val="20"/>
        </w:rPr>
        <w:t xml:space="preserve"> η καλύτερη μαθηματική θωράκιση</w:t>
      </w:r>
      <w:r w:rsidR="001028A5">
        <w:rPr>
          <w:rFonts w:asciiTheme="majorHAnsi" w:eastAsia="Times New Roman" w:hAnsiTheme="majorHAnsi"/>
          <w:sz w:val="20"/>
          <w:szCs w:val="20"/>
        </w:rPr>
        <w:t xml:space="preserve"> των φοιτητών</w:t>
      </w:r>
      <w:r w:rsidR="00800927">
        <w:rPr>
          <w:rFonts w:asciiTheme="majorHAnsi" w:eastAsia="Times New Roman" w:hAnsiTheme="majorHAnsi"/>
          <w:sz w:val="20"/>
          <w:szCs w:val="20"/>
        </w:rPr>
        <w:t xml:space="preserve"> στις δύσκολες εργασιακές απαιτήσεις των καιρών μας. </w:t>
      </w:r>
    </w:p>
    <w:p w14:paraId="19F843BC" w14:textId="0D5F0CF0" w:rsidR="00C23E08" w:rsidRPr="005F4666" w:rsidRDefault="00552AA5" w:rsidP="005F4666">
      <w:pPr>
        <w:pStyle w:val="ListParagraph"/>
        <w:numPr>
          <w:ilvl w:val="0"/>
          <w:numId w:val="2"/>
        </w:numPr>
        <w:jc w:val="both"/>
        <w:rPr>
          <w:rFonts w:asciiTheme="majorHAnsi" w:eastAsia="Times New Roman" w:hAnsiTheme="majorHAnsi"/>
          <w:sz w:val="20"/>
          <w:szCs w:val="20"/>
        </w:rPr>
      </w:pPr>
      <w:r>
        <w:rPr>
          <w:rFonts w:asciiTheme="majorHAnsi" w:eastAsia="Times New Roman" w:hAnsiTheme="majorHAnsi"/>
          <w:sz w:val="20"/>
          <w:szCs w:val="20"/>
        </w:rPr>
        <w:t xml:space="preserve">Παροχή άρτιας κατάρτισης, επιπλέον του βασικού πτυχίου, στους </w:t>
      </w:r>
      <w:r w:rsidR="00C23E08" w:rsidRPr="005F4666">
        <w:rPr>
          <w:rFonts w:asciiTheme="majorHAnsi" w:eastAsia="Times New Roman" w:hAnsiTheme="majorHAnsi"/>
          <w:sz w:val="20"/>
          <w:szCs w:val="20"/>
        </w:rPr>
        <w:t>διδασκάλους της δευτεροβάθμιας εκπαίδευσης.</w:t>
      </w:r>
    </w:p>
    <w:p w14:paraId="45102B76" w14:textId="0021A4BF" w:rsidR="009873C5" w:rsidRPr="00F537F4" w:rsidRDefault="009873C5" w:rsidP="004453C7">
      <w:pPr>
        <w:rPr>
          <w:rFonts w:asciiTheme="majorHAnsi" w:eastAsia="Times New Roman" w:hAnsiTheme="majorHAnsi"/>
          <w:sz w:val="20"/>
          <w:szCs w:val="20"/>
        </w:rPr>
      </w:pPr>
      <w:r w:rsidRPr="00F537F4">
        <w:rPr>
          <w:rFonts w:asciiTheme="majorHAnsi" w:eastAsia="Times New Roman" w:hAnsiTheme="majorHAnsi"/>
          <w:sz w:val="20"/>
          <w:szCs w:val="20"/>
        </w:rPr>
        <w:t>Τα μαθήματα και οι διδάσκοντες</w:t>
      </w:r>
      <w:r w:rsidR="005227BD" w:rsidRPr="00F537F4">
        <w:rPr>
          <w:rFonts w:asciiTheme="majorHAnsi" w:eastAsia="Times New Roman" w:hAnsiTheme="majorHAnsi"/>
          <w:sz w:val="20"/>
          <w:szCs w:val="20"/>
        </w:rPr>
        <w:t>/-</w:t>
      </w:r>
      <w:proofErr w:type="spellStart"/>
      <w:r w:rsidR="005227BD" w:rsidRPr="00F537F4">
        <w:rPr>
          <w:rFonts w:asciiTheme="majorHAnsi" w:eastAsia="Times New Roman" w:hAnsiTheme="majorHAnsi"/>
          <w:sz w:val="20"/>
          <w:szCs w:val="20"/>
        </w:rPr>
        <w:t>ουσες</w:t>
      </w:r>
      <w:proofErr w:type="spellEnd"/>
      <w:r w:rsidRPr="00F537F4">
        <w:rPr>
          <w:rFonts w:asciiTheme="majorHAnsi" w:eastAsia="Times New Roman" w:hAnsiTheme="majorHAnsi"/>
          <w:sz w:val="20"/>
          <w:szCs w:val="20"/>
        </w:rPr>
        <w:t xml:space="preserve"> του Π</w:t>
      </w:r>
      <w:r w:rsidR="00B51F99" w:rsidRPr="00F537F4">
        <w:rPr>
          <w:rFonts w:asciiTheme="majorHAnsi" w:eastAsia="Times New Roman" w:hAnsiTheme="majorHAnsi"/>
          <w:sz w:val="20"/>
          <w:szCs w:val="20"/>
        </w:rPr>
        <w:t>.</w:t>
      </w:r>
      <w:r w:rsidRPr="00F537F4">
        <w:rPr>
          <w:rFonts w:asciiTheme="majorHAnsi" w:eastAsia="Times New Roman" w:hAnsiTheme="majorHAnsi"/>
          <w:sz w:val="20"/>
          <w:szCs w:val="20"/>
        </w:rPr>
        <w:t>Μ</w:t>
      </w:r>
      <w:r w:rsidR="00B51F99" w:rsidRPr="00F537F4">
        <w:rPr>
          <w:rFonts w:asciiTheme="majorHAnsi" w:eastAsia="Times New Roman" w:hAnsiTheme="majorHAnsi"/>
          <w:sz w:val="20"/>
          <w:szCs w:val="20"/>
        </w:rPr>
        <w:t>.</w:t>
      </w:r>
      <w:r w:rsidRPr="00F537F4">
        <w:rPr>
          <w:rFonts w:asciiTheme="majorHAnsi" w:eastAsia="Times New Roman" w:hAnsiTheme="majorHAnsi"/>
          <w:sz w:val="20"/>
          <w:szCs w:val="20"/>
        </w:rPr>
        <w:t>Σ</w:t>
      </w:r>
      <w:r w:rsidR="00B51F99" w:rsidRPr="00F537F4">
        <w:rPr>
          <w:rFonts w:asciiTheme="majorHAnsi" w:eastAsia="Times New Roman" w:hAnsiTheme="majorHAnsi"/>
          <w:sz w:val="20"/>
          <w:szCs w:val="20"/>
        </w:rPr>
        <w:t>.</w:t>
      </w:r>
      <w:r w:rsidRPr="00F537F4">
        <w:rPr>
          <w:rFonts w:asciiTheme="majorHAnsi" w:eastAsia="Times New Roman" w:hAnsiTheme="majorHAnsi"/>
          <w:sz w:val="20"/>
          <w:szCs w:val="20"/>
        </w:rPr>
        <w:t xml:space="preserve"> θα αξιολογούνται στο τέλος κάθε εξαμήνου μέσω του πληροφοριακού Συστήματος Διαχείρισης Ποιότητας (Σ</w:t>
      </w:r>
      <w:r w:rsidR="00CB154F" w:rsidRPr="00F537F4">
        <w:rPr>
          <w:rFonts w:asciiTheme="majorHAnsi" w:eastAsia="Times New Roman" w:hAnsiTheme="majorHAnsi"/>
          <w:sz w:val="20"/>
          <w:szCs w:val="20"/>
        </w:rPr>
        <w:t>.</w:t>
      </w:r>
      <w:r w:rsidRPr="00F537F4">
        <w:rPr>
          <w:rFonts w:asciiTheme="majorHAnsi" w:eastAsia="Times New Roman" w:hAnsiTheme="majorHAnsi"/>
          <w:sz w:val="20"/>
          <w:szCs w:val="20"/>
        </w:rPr>
        <w:t>Δ</w:t>
      </w:r>
      <w:r w:rsidR="00CB154F" w:rsidRPr="00F537F4">
        <w:rPr>
          <w:rFonts w:asciiTheme="majorHAnsi" w:eastAsia="Times New Roman" w:hAnsiTheme="majorHAnsi"/>
          <w:sz w:val="20"/>
          <w:szCs w:val="20"/>
        </w:rPr>
        <w:t>.</w:t>
      </w:r>
      <w:r w:rsidRPr="00F537F4">
        <w:rPr>
          <w:rFonts w:asciiTheme="majorHAnsi" w:eastAsia="Times New Roman" w:hAnsiTheme="majorHAnsi"/>
          <w:sz w:val="20"/>
          <w:szCs w:val="20"/>
        </w:rPr>
        <w:t>Π</w:t>
      </w:r>
      <w:r w:rsidR="00CB154F" w:rsidRPr="00F537F4">
        <w:rPr>
          <w:rFonts w:asciiTheme="majorHAnsi" w:eastAsia="Times New Roman" w:hAnsiTheme="majorHAnsi"/>
          <w:sz w:val="20"/>
          <w:szCs w:val="20"/>
        </w:rPr>
        <w:t>.</w:t>
      </w:r>
      <w:r w:rsidRPr="00F537F4">
        <w:rPr>
          <w:rFonts w:asciiTheme="majorHAnsi" w:eastAsia="Times New Roman" w:hAnsiTheme="majorHAnsi"/>
          <w:sz w:val="20"/>
          <w:szCs w:val="20"/>
        </w:rPr>
        <w:t>) της Μονάδας Διασφάλισης Ποιότητας (ΜΟ</w:t>
      </w:r>
      <w:r w:rsidR="00CB154F" w:rsidRPr="00F537F4">
        <w:rPr>
          <w:rFonts w:asciiTheme="majorHAnsi" w:eastAsia="Times New Roman" w:hAnsiTheme="majorHAnsi"/>
          <w:sz w:val="20"/>
          <w:szCs w:val="20"/>
        </w:rPr>
        <w:t>.</w:t>
      </w:r>
      <w:r w:rsidRPr="00F537F4">
        <w:rPr>
          <w:rFonts w:asciiTheme="majorHAnsi" w:eastAsia="Times New Roman" w:hAnsiTheme="majorHAnsi"/>
          <w:sz w:val="20"/>
          <w:szCs w:val="20"/>
        </w:rPr>
        <w:t>ΔΙ</w:t>
      </w:r>
      <w:r w:rsidR="00CB154F" w:rsidRPr="00F537F4">
        <w:rPr>
          <w:rFonts w:asciiTheme="majorHAnsi" w:eastAsia="Times New Roman" w:hAnsiTheme="majorHAnsi"/>
          <w:sz w:val="20"/>
          <w:szCs w:val="20"/>
        </w:rPr>
        <w:t>.</w:t>
      </w:r>
      <w:r w:rsidRPr="00F537F4">
        <w:rPr>
          <w:rFonts w:asciiTheme="majorHAnsi" w:eastAsia="Times New Roman" w:hAnsiTheme="majorHAnsi"/>
          <w:sz w:val="20"/>
          <w:szCs w:val="20"/>
        </w:rPr>
        <w:t>Π) του Α</w:t>
      </w:r>
      <w:r w:rsidR="00F51665" w:rsidRPr="00F537F4">
        <w:rPr>
          <w:rFonts w:asciiTheme="majorHAnsi" w:eastAsia="Times New Roman" w:hAnsiTheme="majorHAnsi"/>
          <w:sz w:val="20"/>
          <w:szCs w:val="20"/>
        </w:rPr>
        <w:t>.</w:t>
      </w:r>
      <w:r w:rsidRPr="00F537F4">
        <w:rPr>
          <w:rFonts w:asciiTheme="majorHAnsi" w:eastAsia="Times New Roman" w:hAnsiTheme="majorHAnsi"/>
          <w:sz w:val="20"/>
          <w:szCs w:val="20"/>
        </w:rPr>
        <w:t>Π</w:t>
      </w:r>
      <w:r w:rsidR="00F51665" w:rsidRPr="00F537F4">
        <w:rPr>
          <w:rFonts w:asciiTheme="majorHAnsi" w:eastAsia="Times New Roman" w:hAnsiTheme="majorHAnsi"/>
          <w:sz w:val="20"/>
          <w:szCs w:val="20"/>
        </w:rPr>
        <w:t>.</w:t>
      </w:r>
      <w:r w:rsidRPr="00F537F4">
        <w:rPr>
          <w:rFonts w:asciiTheme="majorHAnsi" w:eastAsia="Times New Roman" w:hAnsiTheme="majorHAnsi"/>
          <w:sz w:val="20"/>
          <w:szCs w:val="20"/>
        </w:rPr>
        <w:t>Θ</w:t>
      </w:r>
      <w:r w:rsidR="00F51665" w:rsidRPr="00F537F4">
        <w:rPr>
          <w:rFonts w:asciiTheme="majorHAnsi" w:eastAsia="Times New Roman" w:hAnsiTheme="majorHAnsi"/>
          <w:sz w:val="20"/>
          <w:szCs w:val="20"/>
        </w:rPr>
        <w:t>.</w:t>
      </w:r>
      <w:r w:rsidRPr="00F537F4">
        <w:rPr>
          <w:rFonts w:asciiTheme="majorHAnsi" w:eastAsia="Times New Roman" w:hAnsiTheme="majorHAnsi"/>
          <w:sz w:val="20"/>
          <w:szCs w:val="20"/>
        </w:rPr>
        <w:t>, σύμφωνα με τις προβλεπόμενες από το Ίδρυμα διαδικασίες.</w:t>
      </w:r>
    </w:p>
    <w:p w14:paraId="186021DD" w14:textId="7383BED6" w:rsidR="009873C5" w:rsidRPr="00F537F4" w:rsidRDefault="009873C5" w:rsidP="00EF05FF">
      <w:pPr>
        <w:jc w:val="both"/>
        <w:rPr>
          <w:rFonts w:asciiTheme="majorHAnsi" w:eastAsia="MgHelveticaUCPol" w:hAnsiTheme="majorHAnsi" w:cs="MgHelveticaUCPol"/>
          <w:sz w:val="20"/>
          <w:szCs w:val="20"/>
        </w:rPr>
      </w:pPr>
      <w:r w:rsidRPr="00F537F4">
        <w:rPr>
          <w:rFonts w:asciiTheme="majorHAnsi" w:eastAsia="MgHelveticaUCPol" w:hAnsiTheme="majorHAnsi" w:cs="MgHelveticaUCPol"/>
          <w:sz w:val="20"/>
          <w:szCs w:val="20"/>
        </w:rPr>
        <w:t>Το Π</w:t>
      </w:r>
      <w:r w:rsidR="0089265C" w:rsidRPr="00F537F4">
        <w:rPr>
          <w:rFonts w:asciiTheme="majorHAnsi" w:eastAsia="MgHelveticaUCPol" w:hAnsiTheme="majorHAnsi" w:cs="MgHelveticaUCPol"/>
          <w:sz w:val="20"/>
          <w:szCs w:val="20"/>
        </w:rPr>
        <w:t>.</w:t>
      </w:r>
      <w:r w:rsidRPr="00F537F4">
        <w:rPr>
          <w:rFonts w:asciiTheme="majorHAnsi" w:eastAsia="MgHelveticaUCPol" w:hAnsiTheme="majorHAnsi" w:cs="MgHelveticaUCPol"/>
          <w:sz w:val="20"/>
          <w:szCs w:val="20"/>
        </w:rPr>
        <w:t>Μ</w:t>
      </w:r>
      <w:r w:rsidR="0089265C" w:rsidRPr="00F537F4">
        <w:rPr>
          <w:rFonts w:asciiTheme="majorHAnsi" w:eastAsia="MgHelveticaUCPol" w:hAnsiTheme="majorHAnsi" w:cs="MgHelveticaUCPol"/>
          <w:sz w:val="20"/>
          <w:szCs w:val="20"/>
        </w:rPr>
        <w:t>.</w:t>
      </w:r>
      <w:r w:rsidRPr="00F537F4">
        <w:rPr>
          <w:rFonts w:asciiTheme="majorHAnsi" w:eastAsia="MgHelveticaUCPol" w:hAnsiTheme="majorHAnsi" w:cs="MgHelveticaUCPol"/>
          <w:sz w:val="20"/>
          <w:szCs w:val="20"/>
        </w:rPr>
        <w:t>Σ</w:t>
      </w:r>
      <w:r w:rsidR="0089265C" w:rsidRPr="00F537F4">
        <w:rPr>
          <w:rFonts w:asciiTheme="majorHAnsi" w:eastAsia="MgHelveticaUCPol" w:hAnsiTheme="majorHAnsi" w:cs="MgHelveticaUCPol"/>
          <w:sz w:val="20"/>
          <w:szCs w:val="20"/>
        </w:rPr>
        <w:t>.</w:t>
      </w:r>
      <w:r w:rsidRPr="00F537F4">
        <w:rPr>
          <w:rFonts w:asciiTheme="majorHAnsi" w:eastAsia="MgHelveticaUCPol" w:hAnsiTheme="majorHAnsi" w:cs="MgHelveticaUCPol"/>
          <w:sz w:val="20"/>
          <w:szCs w:val="20"/>
        </w:rPr>
        <w:t xml:space="preserve"> θα αξιολογηθεί σύμφωνα με τα ισχύοντα κριτήρια </w:t>
      </w:r>
      <w:r w:rsidR="00361A70" w:rsidRPr="00F537F4">
        <w:rPr>
          <w:rFonts w:asciiTheme="majorHAnsi" w:eastAsia="MgHelveticaUCPol" w:hAnsiTheme="majorHAnsi" w:cs="MgHelveticaUCPol"/>
          <w:sz w:val="20"/>
          <w:szCs w:val="20"/>
        </w:rPr>
        <w:t>(</w:t>
      </w:r>
      <w:r w:rsidR="00370EDC" w:rsidRPr="00F537F4">
        <w:rPr>
          <w:rFonts w:asciiTheme="majorHAnsi" w:eastAsia="MgHelveticaUCPol" w:hAnsiTheme="majorHAnsi" w:cs="MgHelveticaUCPol"/>
          <w:sz w:val="20"/>
          <w:szCs w:val="20"/>
        </w:rPr>
        <w:t>διαθέσιμα στην ιστοσελίδα της ΜΟ</w:t>
      </w:r>
      <w:r w:rsidR="00CB154F" w:rsidRPr="00F537F4">
        <w:rPr>
          <w:rFonts w:asciiTheme="majorHAnsi" w:eastAsia="MgHelveticaUCPol" w:hAnsiTheme="majorHAnsi" w:cs="MgHelveticaUCPol"/>
          <w:sz w:val="20"/>
          <w:szCs w:val="20"/>
        </w:rPr>
        <w:t>.</w:t>
      </w:r>
      <w:r w:rsidR="00370EDC" w:rsidRPr="00F537F4">
        <w:rPr>
          <w:rFonts w:asciiTheme="majorHAnsi" w:eastAsia="MgHelveticaUCPol" w:hAnsiTheme="majorHAnsi" w:cs="MgHelveticaUCPol"/>
          <w:sz w:val="20"/>
          <w:szCs w:val="20"/>
        </w:rPr>
        <w:t>ΔΙ</w:t>
      </w:r>
      <w:r w:rsidR="00CB154F" w:rsidRPr="00F537F4">
        <w:rPr>
          <w:rFonts w:asciiTheme="majorHAnsi" w:eastAsia="MgHelveticaUCPol" w:hAnsiTheme="majorHAnsi" w:cs="MgHelveticaUCPol"/>
          <w:sz w:val="20"/>
          <w:szCs w:val="20"/>
        </w:rPr>
        <w:t>.</w:t>
      </w:r>
      <w:r w:rsidR="00370EDC" w:rsidRPr="00F537F4">
        <w:rPr>
          <w:rFonts w:asciiTheme="majorHAnsi" w:eastAsia="MgHelveticaUCPol" w:hAnsiTheme="majorHAnsi" w:cs="MgHelveticaUCPol"/>
          <w:sz w:val="20"/>
          <w:szCs w:val="20"/>
        </w:rPr>
        <w:t xml:space="preserve">Π </w:t>
      </w:r>
      <w:hyperlink r:id="rId7" w:history="1">
        <w:r w:rsidR="006D2A3B" w:rsidRPr="00F537F4">
          <w:rPr>
            <w:rStyle w:val="Hyperlink"/>
            <w:rFonts w:asciiTheme="majorHAnsi" w:hAnsiTheme="majorHAnsi"/>
            <w:sz w:val="20"/>
            <w:szCs w:val="20"/>
          </w:rPr>
          <w:t>https://qa.auth.gr/el/node/7642</w:t>
        </w:r>
      </w:hyperlink>
      <w:r w:rsidR="006D2A3B" w:rsidRPr="00F537F4">
        <w:rPr>
          <w:rFonts w:asciiTheme="majorHAnsi" w:hAnsiTheme="majorHAnsi"/>
          <w:sz w:val="20"/>
          <w:szCs w:val="20"/>
        </w:rPr>
        <w:t xml:space="preserve"> </w:t>
      </w:r>
      <w:r w:rsidR="00370EDC" w:rsidRPr="00F537F4">
        <w:rPr>
          <w:rFonts w:asciiTheme="majorHAnsi" w:eastAsia="MgHelveticaUCPol" w:hAnsiTheme="majorHAnsi" w:cs="MgHelveticaUCPol"/>
          <w:sz w:val="20"/>
          <w:szCs w:val="20"/>
        </w:rPr>
        <w:t>αφού πραγματοποιηθεί ΕΙΣΟΔΟΣ</w:t>
      </w:r>
      <w:r w:rsidRPr="00F537F4">
        <w:rPr>
          <w:rFonts w:asciiTheme="majorHAnsi" w:eastAsia="MgHelveticaUCPol" w:hAnsiTheme="majorHAnsi" w:cs="MgHelveticaUCPol"/>
          <w:sz w:val="20"/>
          <w:szCs w:val="20"/>
        </w:rPr>
        <w:t>)</w:t>
      </w:r>
    </w:p>
    <w:p w14:paraId="1B9A22DA" w14:textId="2EF4FE82" w:rsidR="00EF05FF" w:rsidRPr="00F537F4" w:rsidRDefault="00EF05FF" w:rsidP="00EF05FF">
      <w:pPr>
        <w:jc w:val="both"/>
        <w:rPr>
          <w:rFonts w:asciiTheme="majorHAnsi" w:eastAsia="MgHelveticaUCPol" w:hAnsiTheme="majorHAnsi" w:cs="MgHelveticaUCPol"/>
          <w:sz w:val="20"/>
          <w:szCs w:val="20"/>
        </w:rPr>
      </w:pPr>
      <w:r w:rsidRPr="00F537F4">
        <w:rPr>
          <w:rFonts w:asciiTheme="majorHAnsi" w:eastAsia="MgHelveticaUCPol" w:hAnsiTheme="majorHAnsi" w:cs="MgHelveticaUCPol"/>
          <w:sz w:val="20"/>
          <w:szCs w:val="20"/>
        </w:rPr>
        <w:t>Επιπλέον το Π</w:t>
      </w:r>
      <w:r w:rsidR="0089265C" w:rsidRPr="00F537F4">
        <w:rPr>
          <w:rFonts w:asciiTheme="majorHAnsi" w:eastAsia="MgHelveticaUCPol" w:hAnsiTheme="majorHAnsi" w:cs="MgHelveticaUCPol"/>
          <w:sz w:val="20"/>
          <w:szCs w:val="20"/>
        </w:rPr>
        <w:t>.</w:t>
      </w:r>
      <w:r w:rsidRPr="00F537F4">
        <w:rPr>
          <w:rFonts w:asciiTheme="majorHAnsi" w:eastAsia="MgHelveticaUCPol" w:hAnsiTheme="majorHAnsi" w:cs="MgHelveticaUCPol"/>
          <w:sz w:val="20"/>
          <w:szCs w:val="20"/>
        </w:rPr>
        <w:t>Μ</w:t>
      </w:r>
      <w:r w:rsidR="0089265C" w:rsidRPr="00F537F4">
        <w:rPr>
          <w:rFonts w:asciiTheme="majorHAnsi" w:eastAsia="MgHelveticaUCPol" w:hAnsiTheme="majorHAnsi" w:cs="MgHelveticaUCPol"/>
          <w:sz w:val="20"/>
          <w:szCs w:val="20"/>
        </w:rPr>
        <w:t>.</w:t>
      </w:r>
      <w:r w:rsidRPr="00F537F4">
        <w:rPr>
          <w:rFonts w:asciiTheme="majorHAnsi" w:eastAsia="MgHelveticaUCPol" w:hAnsiTheme="majorHAnsi" w:cs="MgHelveticaUCPol"/>
          <w:sz w:val="20"/>
          <w:szCs w:val="20"/>
        </w:rPr>
        <w:t>Σ</w:t>
      </w:r>
      <w:r w:rsidR="0089265C" w:rsidRPr="00F537F4">
        <w:rPr>
          <w:rFonts w:asciiTheme="majorHAnsi" w:eastAsia="MgHelveticaUCPol" w:hAnsiTheme="majorHAnsi" w:cs="MgHelveticaUCPol"/>
          <w:sz w:val="20"/>
          <w:szCs w:val="20"/>
        </w:rPr>
        <w:t>.</w:t>
      </w:r>
      <w:r w:rsidRPr="00F537F4">
        <w:rPr>
          <w:rFonts w:asciiTheme="majorHAnsi" w:eastAsia="MgHelveticaUCPol" w:hAnsiTheme="majorHAnsi" w:cs="MgHelveticaUCPol"/>
          <w:sz w:val="20"/>
          <w:szCs w:val="20"/>
        </w:rPr>
        <w:t xml:space="preserve"> κατά τα οριζόμενα του άρθρου 87 του Ν. 4957/2022, αξιολογείται στο πλαίσιο της περιοδικής αξιολόγησης πιστοποίησης της ακαδημαϊκής μονάδας από την Εθνική Αρχή Ανώτατης Εκπαίδευσης.</w:t>
      </w:r>
    </w:p>
    <w:sectPr w:rsidR="00EF05FF" w:rsidRPr="00F537F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3BCEA" w14:textId="77777777" w:rsidR="00FC2FF4" w:rsidRDefault="00FC2FF4" w:rsidP="005F05BB">
      <w:pPr>
        <w:spacing w:after="0" w:line="240" w:lineRule="auto"/>
      </w:pPr>
      <w:r>
        <w:separator/>
      </w:r>
    </w:p>
  </w:endnote>
  <w:endnote w:type="continuationSeparator" w:id="0">
    <w:p w14:paraId="2477D9D0" w14:textId="77777777" w:rsidR="00FC2FF4" w:rsidRDefault="00FC2FF4" w:rsidP="005F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gHelveticaUCPo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79329" w14:textId="77777777" w:rsidR="005F05BB" w:rsidRDefault="009873C5">
    <w:pPr>
      <w:pStyle w:val="Footer"/>
    </w:pPr>
    <w:r>
      <w:t xml:space="preserve">Β. </w:t>
    </w:r>
    <w:r w:rsidR="005F05BB">
      <w:t>ΟΝΠΜΣ-ΜΣ.ν1</w:t>
    </w:r>
  </w:p>
  <w:p w14:paraId="113574B9" w14:textId="77777777" w:rsidR="005F05BB" w:rsidRDefault="005F0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2B414" w14:textId="77777777" w:rsidR="00FC2FF4" w:rsidRDefault="00FC2FF4" w:rsidP="005F05BB">
      <w:pPr>
        <w:spacing w:after="0" w:line="240" w:lineRule="auto"/>
      </w:pPr>
      <w:r>
        <w:separator/>
      </w:r>
    </w:p>
  </w:footnote>
  <w:footnote w:type="continuationSeparator" w:id="0">
    <w:p w14:paraId="32220076" w14:textId="77777777" w:rsidR="00FC2FF4" w:rsidRDefault="00FC2FF4" w:rsidP="005F0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EB25" w14:textId="5CEAC182" w:rsidR="001676F0" w:rsidRDefault="001676F0"/>
  <w:p w14:paraId="350E749D" w14:textId="069C8374" w:rsidR="001676F0" w:rsidRDefault="001676F0"/>
  <w:p w14:paraId="3D6BB981" w14:textId="77777777" w:rsidR="001676F0" w:rsidRDefault="001676F0"/>
  <w:tbl>
    <w:tblPr>
      <w:tblpPr w:leftFromText="180" w:rightFromText="180" w:vertAnchor="text" w:horzAnchor="margin" w:tblpY="-1386"/>
      <w:tblW w:w="5589" w:type="pct"/>
      <w:tblBorders>
        <w:bottom w:val="single" w:sz="4" w:space="0" w:color="auto"/>
      </w:tblBorders>
      <w:tblLook w:val="00A0" w:firstRow="1" w:lastRow="0" w:firstColumn="1" w:lastColumn="0" w:noHBand="0" w:noVBand="0"/>
    </w:tblPr>
    <w:tblGrid>
      <w:gridCol w:w="2222"/>
      <w:gridCol w:w="251"/>
      <w:gridCol w:w="932"/>
      <w:gridCol w:w="2911"/>
      <w:gridCol w:w="2968"/>
    </w:tblGrid>
    <w:tr w:rsidR="001676F0" w14:paraId="53393142" w14:textId="77777777" w:rsidTr="001676F0">
      <w:trPr>
        <w:cantSplit/>
        <w:trHeight w:val="227"/>
      </w:trPr>
      <w:tc>
        <w:tcPr>
          <w:tcW w:w="2222" w:type="dxa"/>
          <w:tcBorders>
            <w:top w:val="nil"/>
            <w:left w:val="nil"/>
            <w:bottom w:val="nil"/>
            <w:right w:val="nil"/>
          </w:tcBorders>
          <w:vAlign w:val="center"/>
          <w:hideMark/>
        </w:tcPr>
        <w:p w14:paraId="43624B5E" w14:textId="77777777" w:rsidR="001676F0" w:rsidRDefault="001676F0" w:rsidP="001676F0">
          <w:pPr>
            <w:tabs>
              <w:tab w:val="left" w:pos="8085"/>
            </w:tabs>
            <w:ind w:left="284" w:hanging="142"/>
            <w:jc w:val="center"/>
            <w:rPr>
              <w:color w:val="000000"/>
              <w:sz w:val="20"/>
              <w:szCs w:val="20"/>
            </w:rPr>
          </w:pPr>
          <w:r>
            <w:rPr>
              <w:color w:val="000000"/>
              <w:sz w:val="20"/>
              <w:szCs w:val="20"/>
            </w:rPr>
            <w:t>ΕΛΛΗΝΙΚΗ ΔΗΜΟΚΡΑΤΙΑ</w:t>
          </w:r>
        </w:p>
      </w:tc>
      <w:tc>
        <w:tcPr>
          <w:tcW w:w="251" w:type="dxa"/>
          <w:tcBorders>
            <w:top w:val="nil"/>
            <w:left w:val="nil"/>
            <w:bottom w:val="nil"/>
            <w:right w:val="nil"/>
          </w:tcBorders>
        </w:tcPr>
        <w:p w14:paraId="2CF21F67" w14:textId="77777777" w:rsidR="001676F0" w:rsidRDefault="001676F0" w:rsidP="001676F0">
          <w:pPr>
            <w:tabs>
              <w:tab w:val="left" w:pos="8085"/>
            </w:tabs>
            <w:ind w:left="284" w:hanging="142"/>
            <w:rPr>
              <w:color w:val="000000"/>
              <w:sz w:val="20"/>
              <w:szCs w:val="20"/>
            </w:rPr>
          </w:pPr>
        </w:p>
      </w:tc>
      <w:tc>
        <w:tcPr>
          <w:tcW w:w="6811" w:type="dxa"/>
          <w:gridSpan w:val="3"/>
          <w:tcBorders>
            <w:top w:val="nil"/>
            <w:left w:val="nil"/>
            <w:bottom w:val="nil"/>
            <w:right w:val="nil"/>
          </w:tcBorders>
          <w:vAlign w:val="center"/>
          <w:hideMark/>
        </w:tcPr>
        <w:p w14:paraId="5FAB8C7B" w14:textId="77777777" w:rsidR="001676F0" w:rsidRDefault="001676F0" w:rsidP="001676F0">
          <w:pPr>
            <w:ind w:left="284" w:hanging="142"/>
            <w:rPr>
              <w:b/>
              <w:color w:val="000000"/>
              <w:sz w:val="20"/>
              <w:szCs w:val="20"/>
            </w:rPr>
          </w:pPr>
          <w:r>
            <w:rPr>
              <w:b/>
              <w:color w:val="000000"/>
              <w:sz w:val="20"/>
              <w:szCs w:val="20"/>
            </w:rPr>
            <w:t xml:space="preserve">ΣΧΟΛΗ ΘΕΤΙΚΩΝ ΕΠΙΣΤΗΜΩΝ  </w:t>
          </w:r>
        </w:p>
      </w:tc>
    </w:tr>
    <w:tr w:rsidR="001676F0" w14:paraId="4D175AE5" w14:textId="77777777" w:rsidTr="001676F0">
      <w:trPr>
        <w:cantSplit/>
        <w:trHeight w:val="525"/>
      </w:trPr>
      <w:tc>
        <w:tcPr>
          <w:tcW w:w="2222" w:type="dxa"/>
          <w:vMerge w:val="restart"/>
          <w:tcBorders>
            <w:top w:val="nil"/>
            <w:left w:val="nil"/>
            <w:bottom w:val="nil"/>
            <w:right w:val="nil"/>
          </w:tcBorders>
          <w:hideMark/>
        </w:tcPr>
        <w:p w14:paraId="5423A45D" w14:textId="70EDE573" w:rsidR="001676F0" w:rsidRDefault="001676F0" w:rsidP="001676F0">
          <w:pPr>
            <w:tabs>
              <w:tab w:val="left" w:pos="8085"/>
            </w:tabs>
            <w:ind w:left="284" w:hanging="142"/>
            <w:jc w:val="center"/>
            <w:rPr>
              <w:color w:val="000000"/>
              <w:sz w:val="20"/>
              <w:szCs w:val="20"/>
            </w:rPr>
          </w:pPr>
          <w:r>
            <w:rPr>
              <w:noProof/>
              <w:color w:val="000000"/>
              <w:sz w:val="20"/>
              <w:szCs w:val="20"/>
            </w:rPr>
            <w:drawing>
              <wp:inline distT="0" distB="0" distL="0" distR="0" wp14:anchorId="503604C8" wp14:editId="788A6913">
                <wp:extent cx="838200" cy="723900"/>
                <wp:effectExtent l="0" t="0" r="0" b="0"/>
                <wp:docPr id="1" name="Picture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23900"/>
                        </a:xfrm>
                        <a:prstGeom prst="rect">
                          <a:avLst/>
                        </a:prstGeom>
                        <a:noFill/>
                        <a:ln>
                          <a:noFill/>
                        </a:ln>
                      </pic:spPr>
                    </pic:pic>
                  </a:graphicData>
                </a:graphic>
              </wp:inline>
            </w:drawing>
          </w:r>
        </w:p>
      </w:tc>
      <w:tc>
        <w:tcPr>
          <w:tcW w:w="251" w:type="dxa"/>
          <w:tcBorders>
            <w:top w:val="nil"/>
            <w:left w:val="nil"/>
            <w:bottom w:val="nil"/>
            <w:right w:val="nil"/>
          </w:tcBorders>
        </w:tcPr>
        <w:p w14:paraId="7665797F" w14:textId="77777777" w:rsidR="001676F0" w:rsidRDefault="001676F0" w:rsidP="001676F0">
          <w:pPr>
            <w:tabs>
              <w:tab w:val="left" w:pos="8085"/>
            </w:tabs>
            <w:ind w:left="284" w:hanging="142"/>
            <w:rPr>
              <w:color w:val="000000"/>
              <w:sz w:val="20"/>
              <w:szCs w:val="20"/>
            </w:rPr>
          </w:pPr>
        </w:p>
      </w:tc>
      <w:tc>
        <w:tcPr>
          <w:tcW w:w="6811" w:type="dxa"/>
          <w:gridSpan w:val="3"/>
          <w:tcBorders>
            <w:top w:val="nil"/>
            <w:left w:val="nil"/>
            <w:bottom w:val="nil"/>
            <w:right w:val="nil"/>
          </w:tcBorders>
        </w:tcPr>
        <w:p w14:paraId="2DF2E4B0" w14:textId="77777777" w:rsidR="001676F0" w:rsidRDefault="001676F0" w:rsidP="001676F0">
          <w:pPr>
            <w:spacing w:beforeLines="20" w:before="48" w:afterLines="20" w:after="48"/>
            <w:ind w:left="284" w:hanging="142"/>
            <w:rPr>
              <w:b/>
              <w:color w:val="000000"/>
              <w:sz w:val="20"/>
              <w:szCs w:val="20"/>
            </w:rPr>
          </w:pPr>
          <w:r>
            <w:rPr>
              <w:b/>
              <w:color w:val="000000"/>
              <w:sz w:val="20"/>
              <w:szCs w:val="20"/>
            </w:rPr>
            <w:t>ΤΜΗΜΑ ΜΑΘΗΜΑΤΙΚΩΝ</w:t>
          </w:r>
        </w:p>
        <w:p w14:paraId="5A3C0EF9" w14:textId="77777777" w:rsidR="001676F0" w:rsidRDefault="001676F0" w:rsidP="001676F0">
          <w:pPr>
            <w:spacing w:beforeLines="20" w:before="48" w:afterLines="20" w:after="48"/>
            <w:ind w:left="284" w:hanging="142"/>
            <w:rPr>
              <w:color w:val="000000"/>
              <w:sz w:val="20"/>
              <w:szCs w:val="20"/>
            </w:rPr>
          </w:pPr>
        </w:p>
      </w:tc>
    </w:tr>
    <w:tr w:rsidR="001676F0" w14:paraId="34911327" w14:textId="77777777" w:rsidTr="001676F0">
      <w:trPr>
        <w:gridAfter w:val="1"/>
        <w:wAfter w:w="2968" w:type="dxa"/>
        <w:cantSplit/>
      </w:trPr>
      <w:tc>
        <w:tcPr>
          <w:tcW w:w="0" w:type="auto"/>
          <w:vMerge/>
          <w:tcBorders>
            <w:top w:val="nil"/>
            <w:left w:val="nil"/>
            <w:bottom w:val="nil"/>
            <w:right w:val="nil"/>
          </w:tcBorders>
          <w:vAlign w:val="center"/>
          <w:hideMark/>
        </w:tcPr>
        <w:p w14:paraId="1406E760" w14:textId="77777777" w:rsidR="001676F0" w:rsidRDefault="001676F0" w:rsidP="001676F0">
          <w:pPr>
            <w:rPr>
              <w:color w:val="000000"/>
              <w:sz w:val="20"/>
              <w:szCs w:val="20"/>
            </w:rPr>
          </w:pPr>
        </w:p>
      </w:tc>
      <w:tc>
        <w:tcPr>
          <w:tcW w:w="251" w:type="dxa"/>
          <w:tcBorders>
            <w:top w:val="nil"/>
            <w:left w:val="nil"/>
            <w:bottom w:val="nil"/>
            <w:right w:val="nil"/>
          </w:tcBorders>
        </w:tcPr>
        <w:p w14:paraId="67E6FBBB" w14:textId="77777777" w:rsidR="001676F0" w:rsidRDefault="001676F0" w:rsidP="001676F0">
          <w:pPr>
            <w:tabs>
              <w:tab w:val="left" w:pos="8085"/>
            </w:tabs>
            <w:ind w:left="284" w:hanging="142"/>
            <w:rPr>
              <w:color w:val="000000"/>
              <w:sz w:val="20"/>
              <w:szCs w:val="20"/>
            </w:rPr>
          </w:pPr>
        </w:p>
      </w:tc>
      <w:tc>
        <w:tcPr>
          <w:tcW w:w="3843" w:type="dxa"/>
          <w:gridSpan w:val="2"/>
          <w:tcBorders>
            <w:top w:val="nil"/>
            <w:left w:val="nil"/>
            <w:bottom w:val="nil"/>
            <w:right w:val="nil"/>
          </w:tcBorders>
          <w:vAlign w:val="bottom"/>
          <w:hideMark/>
        </w:tcPr>
        <w:p w14:paraId="23541512" w14:textId="77777777" w:rsidR="001676F0" w:rsidRDefault="001676F0" w:rsidP="001676F0">
          <w:pPr>
            <w:tabs>
              <w:tab w:val="left" w:pos="8085"/>
            </w:tabs>
            <w:spacing w:afterLines="20" w:after="48"/>
            <w:ind w:left="284" w:hanging="142"/>
            <w:rPr>
              <w:i/>
              <w:color w:val="000000"/>
              <w:w w:val="90"/>
              <w:sz w:val="20"/>
              <w:szCs w:val="20"/>
            </w:rPr>
          </w:pPr>
          <w:r>
            <w:rPr>
              <w:color w:val="000000"/>
              <w:sz w:val="20"/>
              <w:szCs w:val="20"/>
            </w:rPr>
            <w:t>Γραμματεία</w:t>
          </w:r>
        </w:p>
        <w:p w14:paraId="6BB908BC" w14:textId="77777777" w:rsidR="001676F0" w:rsidRDefault="001676F0" w:rsidP="001676F0">
          <w:pPr>
            <w:tabs>
              <w:tab w:val="left" w:pos="8085"/>
            </w:tabs>
            <w:spacing w:afterLines="20" w:after="48"/>
            <w:ind w:left="284" w:hanging="142"/>
            <w:rPr>
              <w:color w:val="000000"/>
              <w:sz w:val="20"/>
              <w:szCs w:val="20"/>
            </w:rPr>
          </w:pPr>
          <w:r>
            <w:rPr>
              <w:i/>
              <w:color w:val="000000"/>
              <w:w w:val="90"/>
              <w:sz w:val="20"/>
              <w:szCs w:val="20"/>
            </w:rPr>
            <w:t>Πληροφορίες</w:t>
          </w:r>
          <w:r>
            <w:rPr>
              <w:i/>
              <w:color w:val="000000"/>
              <w:sz w:val="20"/>
              <w:szCs w:val="20"/>
            </w:rPr>
            <w:t>:</w:t>
          </w:r>
          <w:r>
            <w:rPr>
              <w:color w:val="000000"/>
              <w:sz w:val="20"/>
              <w:szCs w:val="20"/>
            </w:rPr>
            <w:t xml:space="preserve"> Αναστάσιος Χρυσοχόου</w:t>
          </w:r>
        </w:p>
      </w:tc>
    </w:tr>
    <w:tr w:rsidR="001676F0" w14:paraId="7616C8DE" w14:textId="77777777" w:rsidTr="001676F0">
      <w:trPr>
        <w:gridAfter w:val="1"/>
        <w:wAfter w:w="2968" w:type="dxa"/>
        <w:cantSplit/>
        <w:trHeight w:val="240"/>
      </w:trPr>
      <w:tc>
        <w:tcPr>
          <w:tcW w:w="2222" w:type="dxa"/>
          <w:vMerge w:val="restart"/>
          <w:tcBorders>
            <w:top w:val="nil"/>
            <w:left w:val="nil"/>
            <w:bottom w:val="single" w:sz="4" w:space="0" w:color="auto"/>
            <w:right w:val="nil"/>
          </w:tcBorders>
          <w:hideMark/>
        </w:tcPr>
        <w:p w14:paraId="3C988693" w14:textId="77777777" w:rsidR="001676F0" w:rsidRDefault="001676F0" w:rsidP="001676F0">
          <w:pPr>
            <w:pBdr>
              <w:top w:val="single" w:sz="4" w:space="1" w:color="auto"/>
            </w:pBdr>
            <w:ind w:left="284" w:hanging="142"/>
            <w:jc w:val="center"/>
            <w:rPr>
              <w:color w:val="000000"/>
              <w:spacing w:val="20"/>
              <w:sz w:val="20"/>
              <w:szCs w:val="20"/>
            </w:rPr>
          </w:pPr>
          <w:r>
            <w:rPr>
              <w:color w:val="000000"/>
              <w:spacing w:val="20"/>
              <w:sz w:val="20"/>
              <w:szCs w:val="20"/>
            </w:rPr>
            <w:t>ΑΡΙΣΤΟΤΕΛΕΙΟ</w:t>
          </w:r>
        </w:p>
        <w:p w14:paraId="426F9336" w14:textId="77777777" w:rsidR="001676F0" w:rsidRDefault="001676F0" w:rsidP="001676F0">
          <w:pPr>
            <w:pBdr>
              <w:top w:val="single" w:sz="4" w:space="1" w:color="auto"/>
            </w:pBdr>
            <w:ind w:left="284" w:hanging="142"/>
            <w:jc w:val="center"/>
            <w:rPr>
              <w:color w:val="000000"/>
              <w:spacing w:val="18"/>
              <w:sz w:val="20"/>
              <w:szCs w:val="20"/>
            </w:rPr>
          </w:pPr>
          <w:r>
            <w:rPr>
              <w:color w:val="000000"/>
              <w:spacing w:val="18"/>
              <w:sz w:val="20"/>
              <w:szCs w:val="20"/>
            </w:rPr>
            <w:t>ΠΑΝΕΠΙΣΤΗΜΙΟ</w:t>
          </w:r>
        </w:p>
        <w:p w14:paraId="4D6F6857" w14:textId="77777777" w:rsidR="001676F0" w:rsidRDefault="001676F0" w:rsidP="001676F0">
          <w:pPr>
            <w:tabs>
              <w:tab w:val="left" w:pos="8085"/>
            </w:tabs>
            <w:ind w:left="284" w:hanging="142"/>
            <w:rPr>
              <w:color w:val="000000"/>
              <w:sz w:val="20"/>
              <w:szCs w:val="20"/>
            </w:rPr>
          </w:pPr>
          <w:r>
            <w:rPr>
              <w:color w:val="000000"/>
              <w:spacing w:val="18"/>
              <w:sz w:val="20"/>
              <w:szCs w:val="20"/>
            </w:rPr>
            <w:t>ΘΕΣΣΑΛΟΝΙΚΗΣ</w:t>
          </w:r>
        </w:p>
      </w:tc>
      <w:tc>
        <w:tcPr>
          <w:tcW w:w="251" w:type="dxa"/>
          <w:vMerge w:val="restart"/>
          <w:tcBorders>
            <w:top w:val="nil"/>
            <w:left w:val="nil"/>
            <w:bottom w:val="single" w:sz="4" w:space="0" w:color="auto"/>
            <w:right w:val="nil"/>
          </w:tcBorders>
        </w:tcPr>
        <w:p w14:paraId="4602B6C2" w14:textId="77777777" w:rsidR="001676F0" w:rsidRDefault="001676F0" w:rsidP="001676F0">
          <w:pPr>
            <w:tabs>
              <w:tab w:val="left" w:pos="8085"/>
            </w:tabs>
            <w:ind w:left="284" w:hanging="142"/>
            <w:rPr>
              <w:color w:val="000000"/>
              <w:sz w:val="20"/>
              <w:szCs w:val="20"/>
            </w:rPr>
          </w:pPr>
        </w:p>
      </w:tc>
      <w:tc>
        <w:tcPr>
          <w:tcW w:w="3843" w:type="dxa"/>
          <w:gridSpan w:val="2"/>
          <w:tcBorders>
            <w:top w:val="nil"/>
            <w:left w:val="nil"/>
            <w:bottom w:val="nil"/>
            <w:right w:val="nil"/>
          </w:tcBorders>
          <w:vAlign w:val="center"/>
          <w:hideMark/>
        </w:tcPr>
        <w:p w14:paraId="712A128E" w14:textId="77777777" w:rsidR="001676F0" w:rsidRDefault="001676F0" w:rsidP="001676F0">
          <w:pPr>
            <w:tabs>
              <w:tab w:val="left" w:pos="8085"/>
            </w:tabs>
            <w:ind w:left="284" w:hanging="142"/>
            <w:rPr>
              <w:color w:val="000000"/>
              <w:sz w:val="20"/>
              <w:szCs w:val="20"/>
            </w:rPr>
          </w:pPr>
          <w:proofErr w:type="spellStart"/>
          <w:r>
            <w:rPr>
              <w:i/>
              <w:color w:val="000000"/>
              <w:w w:val="90"/>
              <w:sz w:val="20"/>
              <w:szCs w:val="20"/>
            </w:rPr>
            <w:t>Τηλ</w:t>
          </w:r>
          <w:proofErr w:type="spellEnd"/>
          <w:r>
            <w:rPr>
              <w:i/>
              <w:color w:val="000000"/>
              <w:sz w:val="20"/>
              <w:szCs w:val="20"/>
            </w:rPr>
            <w:t>. :</w:t>
          </w:r>
          <w:r>
            <w:rPr>
              <w:i/>
              <w:color w:val="000000"/>
              <w:sz w:val="20"/>
              <w:szCs w:val="20"/>
              <w:lang w:val="en-US"/>
            </w:rPr>
            <w:t xml:space="preserve">           </w:t>
          </w:r>
          <w:r>
            <w:rPr>
              <w:color w:val="000000"/>
              <w:sz w:val="20"/>
              <w:szCs w:val="20"/>
            </w:rPr>
            <w:t xml:space="preserve">2310 997930  </w:t>
          </w:r>
        </w:p>
      </w:tc>
    </w:tr>
    <w:tr w:rsidR="001676F0" w:rsidRPr="00C15781" w14:paraId="1F202798" w14:textId="77777777" w:rsidTr="001676F0">
      <w:trPr>
        <w:gridAfter w:val="1"/>
        <w:wAfter w:w="2968" w:type="dxa"/>
        <w:cantSplit/>
        <w:trHeight w:val="240"/>
      </w:trPr>
      <w:tc>
        <w:tcPr>
          <w:tcW w:w="0" w:type="auto"/>
          <w:vMerge/>
          <w:tcBorders>
            <w:top w:val="nil"/>
            <w:left w:val="nil"/>
            <w:bottom w:val="single" w:sz="4" w:space="0" w:color="auto"/>
            <w:right w:val="nil"/>
          </w:tcBorders>
          <w:vAlign w:val="center"/>
          <w:hideMark/>
        </w:tcPr>
        <w:p w14:paraId="6324F371" w14:textId="77777777" w:rsidR="001676F0" w:rsidRDefault="001676F0" w:rsidP="001676F0">
          <w:pPr>
            <w:rPr>
              <w:color w:val="000000"/>
              <w:sz w:val="20"/>
              <w:szCs w:val="20"/>
            </w:rPr>
          </w:pPr>
        </w:p>
      </w:tc>
      <w:tc>
        <w:tcPr>
          <w:tcW w:w="0" w:type="auto"/>
          <w:vMerge/>
          <w:tcBorders>
            <w:top w:val="nil"/>
            <w:left w:val="nil"/>
            <w:bottom w:val="single" w:sz="4" w:space="0" w:color="auto"/>
            <w:right w:val="nil"/>
          </w:tcBorders>
          <w:vAlign w:val="center"/>
          <w:hideMark/>
        </w:tcPr>
        <w:p w14:paraId="1B9C2D90" w14:textId="77777777" w:rsidR="001676F0" w:rsidRDefault="001676F0" w:rsidP="001676F0">
          <w:pPr>
            <w:rPr>
              <w:color w:val="000000"/>
              <w:sz w:val="20"/>
              <w:szCs w:val="20"/>
            </w:rPr>
          </w:pPr>
        </w:p>
      </w:tc>
      <w:tc>
        <w:tcPr>
          <w:tcW w:w="3843" w:type="dxa"/>
          <w:gridSpan w:val="2"/>
          <w:tcBorders>
            <w:top w:val="nil"/>
            <w:left w:val="nil"/>
            <w:bottom w:val="nil"/>
            <w:right w:val="nil"/>
          </w:tcBorders>
          <w:vAlign w:val="center"/>
          <w:hideMark/>
        </w:tcPr>
        <w:p w14:paraId="518CBC49" w14:textId="77777777" w:rsidR="001676F0" w:rsidRDefault="001676F0" w:rsidP="001676F0">
          <w:pPr>
            <w:tabs>
              <w:tab w:val="left" w:pos="8085"/>
            </w:tabs>
            <w:ind w:left="284" w:hanging="142"/>
            <w:rPr>
              <w:color w:val="000000"/>
              <w:sz w:val="20"/>
              <w:szCs w:val="20"/>
              <w:lang w:val="de-DE"/>
            </w:rPr>
          </w:pPr>
          <w:proofErr w:type="gramStart"/>
          <w:r>
            <w:rPr>
              <w:i/>
              <w:color w:val="000000"/>
              <w:w w:val="90"/>
              <w:sz w:val="20"/>
              <w:szCs w:val="20"/>
              <w:lang w:val="en-US"/>
            </w:rPr>
            <w:t>e</w:t>
          </w:r>
          <w:r>
            <w:rPr>
              <w:i/>
              <w:color w:val="000000"/>
              <w:w w:val="90"/>
              <w:sz w:val="20"/>
              <w:szCs w:val="20"/>
              <w:lang w:val="de-DE"/>
            </w:rPr>
            <w:t>mail</w:t>
          </w:r>
          <w:r>
            <w:rPr>
              <w:i/>
              <w:color w:val="000000"/>
              <w:sz w:val="20"/>
              <w:szCs w:val="20"/>
              <w:lang w:val="de-DE"/>
            </w:rPr>
            <w:t xml:space="preserve"> :</w:t>
          </w:r>
          <w:proofErr w:type="gramEnd"/>
          <w:r>
            <w:rPr>
              <w:i/>
              <w:color w:val="000000"/>
              <w:sz w:val="20"/>
              <w:szCs w:val="20"/>
              <w:lang w:val="de-DE"/>
            </w:rPr>
            <w:t xml:space="preserve">       info</w:t>
          </w:r>
          <w:r>
            <w:rPr>
              <w:color w:val="000000"/>
              <w:sz w:val="20"/>
              <w:szCs w:val="20"/>
              <w:lang w:val="de-DE"/>
            </w:rPr>
            <w:t>@math.auth.gr</w:t>
          </w:r>
        </w:p>
      </w:tc>
    </w:tr>
    <w:tr w:rsidR="001676F0" w14:paraId="58E454A8" w14:textId="77777777" w:rsidTr="001676F0">
      <w:trPr>
        <w:gridAfter w:val="1"/>
        <w:wAfter w:w="2968" w:type="dxa"/>
        <w:cantSplit/>
        <w:trHeight w:val="240"/>
      </w:trPr>
      <w:tc>
        <w:tcPr>
          <w:tcW w:w="0" w:type="auto"/>
          <w:vMerge/>
          <w:tcBorders>
            <w:top w:val="nil"/>
            <w:left w:val="nil"/>
            <w:bottom w:val="single" w:sz="4" w:space="0" w:color="auto"/>
            <w:right w:val="nil"/>
          </w:tcBorders>
          <w:vAlign w:val="center"/>
          <w:hideMark/>
        </w:tcPr>
        <w:p w14:paraId="2F9BBB5A" w14:textId="77777777" w:rsidR="001676F0" w:rsidRPr="001676F0" w:rsidRDefault="001676F0" w:rsidP="001676F0">
          <w:pPr>
            <w:rPr>
              <w:color w:val="000000"/>
              <w:sz w:val="20"/>
              <w:szCs w:val="20"/>
              <w:lang w:val="en-US"/>
            </w:rPr>
          </w:pPr>
        </w:p>
      </w:tc>
      <w:tc>
        <w:tcPr>
          <w:tcW w:w="0" w:type="auto"/>
          <w:vMerge/>
          <w:tcBorders>
            <w:top w:val="nil"/>
            <w:left w:val="nil"/>
            <w:bottom w:val="single" w:sz="4" w:space="0" w:color="auto"/>
            <w:right w:val="nil"/>
          </w:tcBorders>
          <w:vAlign w:val="center"/>
          <w:hideMark/>
        </w:tcPr>
        <w:p w14:paraId="046F29F7" w14:textId="77777777" w:rsidR="001676F0" w:rsidRPr="001676F0" w:rsidRDefault="001676F0" w:rsidP="001676F0">
          <w:pPr>
            <w:rPr>
              <w:color w:val="000000"/>
              <w:sz w:val="20"/>
              <w:szCs w:val="20"/>
              <w:lang w:val="en-US"/>
            </w:rPr>
          </w:pPr>
        </w:p>
      </w:tc>
      <w:tc>
        <w:tcPr>
          <w:tcW w:w="932" w:type="dxa"/>
          <w:tcBorders>
            <w:top w:val="nil"/>
            <w:left w:val="nil"/>
            <w:bottom w:val="single" w:sz="4" w:space="0" w:color="auto"/>
            <w:right w:val="nil"/>
          </w:tcBorders>
          <w:vAlign w:val="center"/>
          <w:hideMark/>
        </w:tcPr>
        <w:p w14:paraId="37A99A09" w14:textId="77777777" w:rsidR="001676F0" w:rsidRDefault="001676F0" w:rsidP="001676F0">
          <w:pPr>
            <w:ind w:left="284" w:hanging="142"/>
            <w:rPr>
              <w:color w:val="000000"/>
              <w:sz w:val="20"/>
              <w:szCs w:val="20"/>
            </w:rPr>
          </w:pPr>
          <w:r>
            <w:rPr>
              <w:i/>
              <w:color w:val="000000"/>
              <w:w w:val="90"/>
              <w:sz w:val="20"/>
              <w:szCs w:val="20"/>
            </w:rPr>
            <w:t>Κτίριο</w:t>
          </w:r>
          <w:r>
            <w:rPr>
              <w:i/>
              <w:color w:val="000000"/>
              <w:sz w:val="20"/>
              <w:szCs w:val="20"/>
            </w:rPr>
            <w:t xml:space="preserve">:   </w:t>
          </w:r>
          <w:r>
            <w:rPr>
              <w:b/>
              <w:color w:val="000000"/>
              <w:sz w:val="20"/>
              <w:szCs w:val="20"/>
            </w:rPr>
            <w:t xml:space="preserve"> </w:t>
          </w:r>
        </w:p>
      </w:tc>
      <w:tc>
        <w:tcPr>
          <w:tcW w:w="2911" w:type="dxa"/>
          <w:tcBorders>
            <w:top w:val="nil"/>
            <w:left w:val="nil"/>
            <w:bottom w:val="single" w:sz="4" w:space="0" w:color="auto"/>
            <w:right w:val="nil"/>
          </w:tcBorders>
          <w:vAlign w:val="center"/>
          <w:hideMark/>
        </w:tcPr>
        <w:p w14:paraId="008712AE" w14:textId="77777777" w:rsidR="001676F0" w:rsidRDefault="001676F0" w:rsidP="001676F0">
          <w:pPr>
            <w:ind w:left="284" w:hanging="142"/>
            <w:rPr>
              <w:color w:val="000000"/>
              <w:sz w:val="20"/>
              <w:szCs w:val="20"/>
            </w:rPr>
          </w:pPr>
          <w:r>
            <w:rPr>
              <w:color w:val="000000"/>
              <w:sz w:val="20"/>
              <w:szCs w:val="20"/>
            </w:rPr>
            <w:t>Γραμματειών της Σχολής Θετικών Επιστημών</w:t>
          </w:r>
        </w:p>
      </w:tc>
    </w:tr>
  </w:tbl>
  <w:p w14:paraId="777A4D03" w14:textId="21756141" w:rsidR="005F05BB" w:rsidRPr="005F05BB" w:rsidRDefault="005F05BB">
    <w:pPr>
      <w:pStyle w:val="Header"/>
      <w:rPr>
        <w:i/>
      </w:rPr>
    </w:pPr>
  </w:p>
  <w:p w14:paraId="29E9548B" w14:textId="77777777" w:rsidR="005F05BB" w:rsidRDefault="005F0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D47"/>
    <w:multiLevelType w:val="hybridMultilevel"/>
    <w:tmpl w:val="76EE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2B5195"/>
    <w:multiLevelType w:val="hybridMultilevel"/>
    <w:tmpl w:val="2CB8F07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4D"/>
    <w:rsid w:val="00053633"/>
    <w:rsid w:val="000673C9"/>
    <w:rsid w:val="00086C04"/>
    <w:rsid w:val="000B60CF"/>
    <w:rsid w:val="001028A5"/>
    <w:rsid w:val="001676F0"/>
    <w:rsid w:val="00202A9D"/>
    <w:rsid w:val="00222D64"/>
    <w:rsid w:val="00240BD1"/>
    <w:rsid w:val="00244239"/>
    <w:rsid w:val="002815AA"/>
    <w:rsid w:val="002E0AC7"/>
    <w:rsid w:val="00360004"/>
    <w:rsid w:val="00361A70"/>
    <w:rsid w:val="00370EDC"/>
    <w:rsid w:val="003A3FCE"/>
    <w:rsid w:val="00433B2F"/>
    <w:rsid w:val="004453C7"/>
    <w:rsid w:val="00452865"/>
    <w:rsid w:val="004570B6"/>
    <w:rsid w:val="004761F3"/>
    <w:rsid w:val="004845AA"/>
    <w:rsid w:val="004C215A"/>
    <w:rsid w:val="004C7997"/>
    <w:rsid w:val="004F05D0"/>
    <w:rsid w:val="005227BD"/>
    <w:rsid w:val="005235C4"/>
    <w:rsid w:val="00552AA5"/>
    <w:rsid w:val="005B7787"/>
    <w:rsid w:val="005D1BB5"/>
    <w:rsid w:val="005F05BB"/>
    <w:rsid w:val="005F4666"/>
    <w:rsid w:val="006001C8"/>
    <w:rsid w:val="00655D38"/>
    <w:rsid w:val="0066212B"/>
    <w:rsid w:val="006769FC"/>
    <w:rsid w:val="006B0367"/>
    <w:rsid w:val="006B396B"/>
    <w:rsid w:val="006C4666"/>
    <w:rsid w:val="006D2A3B"/>
    <w:rsid w:val="006F219E"/>
    <w:rsid w:val="006F58FF"/>
    <w:rsid w:val="00792FFA"/>
    <w:rsid w:val="007A536E"/>
    <w:rsid w:val="007A614B"/>
    <w:rsid w:val="007B0C19"/>
    <w:rsid w:val="007C2C1C"/>
    <w:rsid w:val="007D086B"/>
    <w:rsid w:val="007E564F"/>
    <w:rsid w:val="00800927"/>
    <w:rsid w:val="0089265C"/>
    <w:rsid w:val="008F7AA1"/>
    <w:rsid w:val="0093301F"/>
    <w:rsid w:val="009538A5"/>
    <w:rsid w:val="00964E2A"/>
    <w:rsid w:val="009873C5"/>
    <w:rsid w:val="00987563"/>
    <w:rsid w:val="00997C8C"/>
    <w:rsid w:val="009A207A"/>
    <w:rsid w:val="009C018F"/>
    <w:rsid w:val="009F2DB3"/>
    <w:rsid w:val="00B31BE8"/>
    <w:rsid w:val="00B51F99"/>
    <w:rsid w:val="00B53056"/>
    <w:rsid w:val="00BB2A6F"/>
    <w:rsid w:val="00BC36EE"/>
    <w:rsid w:val="00BE3DCC"/>
    <w:rsid w:val="00BF1752"/>
    <w:rsid w:val="00BF2F11"/>
    <w:rsid w:val="00C0515E"/>
    <w:rsid w:val="00C15781"/>
    <w:rsid w:val="00C23E08"/>
    <w:rsid w:val="00C66E91"/>
    <w:rsid w:val="00C71677"/>
    <w:rsid w:val="00C72D81"/>
    <w:rsid w:val="00C73B5F"/>
    <w:rsid w:val="00CB154F"/>
    <w:rsid w:val="00CC1D4D"/>
    <w:rsid w:val="00CC4973"/>
    <w:rsid w:val="00D04716"/>
    <w:rsid w:val="00D11C31"/>
    <w:rsid w:val="00D3597D"/>
    <w:rsid w:val="00D93AA1"/>
    <w:rsid w:val="00DA7030"/>
    <w:rsid w:val="00DC2FD7"/>
    <w:rsid w:val="00DE0853"/>
    <w:rsid w:val="00E33559"/>
    <w:rsid w:val="00E61A53"/>
    <w:rsid w:val="00E654E5"/>
    <w:rsid w:val="00EA294B"/>
    <w:rsid w:val="00EF05FF"/>
    <w:rsid w:val="00EF200F"/>
    <w:rsid w:val="00F023C8"/>
    <w:rsid w:val="00F15027"/>
    <w:rsid w:val="00F51665"/>
    <w:rsid w:val="00F537F4"/>
    <w:rsid w:val="00F812E6"/>
    <w:rsid w:val="00F91BDE"/>
    <w:rsid w:val="00F9492F"/>
    <w:rsid w:val="00FC2FF4"/>
    <w:rsid w:val="00FC730D"/>
    <w:rsid w:val="00FE7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42FC"/>
  <w15:docId w15:val="{C305C64B-5BC8-4959-8FC5-CA13A805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5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05BB"/>
  </w:style>
  <w:style w:type="paragraph" w:styleId="Footer">
    <w:name w:val="footer"/>
    <w:basedOn w:val="Normal"/>
    <w:link w:val="FooterChar"/>
    <w:uiPriority w:val="99"/>
    <w:unhideWhenUsed/>
    <w:rsid w:val="005F05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05BB"/>
  </w:style>
  <w:style w:type="paragraph" w:styleId="BalloonText">
    <w:name w:val="Balloon Text"/>
    <w:basedOn w:val="Normal"/>
    <w:link w:val="BalloonTextChar"/>
    <w:uiPriority w:val="99"/>
    <w:semiHidden/>
    <w:unhideWhenUsed/>
    <w:rsid w:val="005F0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BB"/>
    <w:rPr>
      <w:rFonts w:ascii="Tahoma" w:hAnsi="Tahoma" w:cs="Tahoma"/>
      <w:sz w:val="16"/>
      <w:szCs w:val="16"/>
    </w:rPr>
  </w:style>
  <w:style w:type="character" w:styleId="Hyperlink">
    <w:name w:val="Hyperlink"/>
    <w:basedOn w:val="DefaultParagraphFont"/>
    <w:uiPriority w:val="99"/>
    <w:unhideWhenUsed/>
    <w:rsid w:val="00370EDC"/>
    <w:rPr>
      <w:color w:val="0000FF" w:themeColor="hyperlink"/>
      <w:u w:val="single"/>
    </w:rPr>
  </w:style>
  <w:style w:type="character" w:styleId="CommentReference">
    <w:name w:val="annotation reference"/>
    <w:basedOn w:val="DefaultParagraphFont"/>
    <w:uiPriority w:val="99"/>
    <w:semiHidden/>
    <w:unhideWhenUsed/>
    <w:rsid w:val="00D11C31"/>
    <w:rPr>
      <w:sz w:val="16"/>
      <w:szCs w:val="16"/>
    </w:rPr>
  </w:style>
  <w:style w:type="paragraph" w:styleId="CommentText">
    <w:name w:val="annotation text"/>
    <w:basedOn w:val="Normal"/>
    <w:link w:val="CommentTextChar"/>
    <w:uiPriority w:val="99"/>
    <w:semiHidden/>
    <w:unhideWhenUsed/>
    <w:rsid w:val="00D11C31"/>
    <w:pPr>
      <w:spacing w:line="240" w:lineRule="auto"/>
    </w:pPr>
    <w:rPr>
      <w:sz w:val="20"/>
      <w:szCs w:val="20"/>
    </w:rPr>
  </w:style>
  <w:style w:type="character" w:customStyle="1" w:styleId="CommentTextChar">
    <w:name w:val="Comment Text Char"/>
    <w:basedOn w:val="DefaultParagraphFont"/>
    <w:link w:val="CommentText"/>
    <w:uiPriority w:val="99"/>
    <w:semiHidden/>
    <w:rsid w:val="00D11C31"/>
    <w:rPr>
      <w:sz w:val="20"/>
      <w:szCs w:val="20"/>
    </w:rPr>
  </w:style>
  <w:style w:type="paragraph" w:styleId="CommentSubject">
    <w:name w:val="annotation subject"/>
    <w:basedOn w:val="CommentText"/>
    <w:next w:val="CommentText"/>
    <w:link w:val="CommentSubjectChar"/>
    <w:uiPriority w:val="99"/>
    <w:semiHidden/>
    <w:unhideWhenUsed/>
    <w:rsid w:val="00D11C31"/>
    <w:rPr>
      <w:b/>
      <w:bCs/>
    </w:rPr>
  </w:style>
  <w:style w:type="character" w:customStyle="1" w:styleId="CommentSubjectChar">
    <w:name w:val="Comment Subject Char"/>
    <w:basedOn w:val="CommentTextChar"/>
    <w:link w:val="CommentSubject"/>
    <w:uiPriority w:val="99"/>
    <w:semiHidden/>
    <w:rsid w:val="00D11C31"/>
    <w:rPr>
      <w:b/>
      <w:bCs/>
      <w:sz w:val="20"/>
      <w:szCs w:val="20"/>
    </w:rPr>
  </w:style>
  <w:style w:type="paragraph" w:styleId="ListParagraph">
    <w:name w:val="List Paragraph"/>
    <w:basedOn w:val="Normal"/>
    <w:uiPriority w:val="34"/>
    <w:qFormat/>
    <w:rsid w:val="004C7997"/>
    <w:pPr>
      <w:ind w:left="720"/>
      <w:contextualSpacing/>
    </w:pPr>
  </w:style>
  <w:style w:type="character" w:customStyle="1" w:styleId="UnresolvedMention1">
    <w:name w:val="Unresolved Mention1"/>
    <w:basedOn w:val="DefaultParagraphFont"/>
    <w:uiPriority w:val="99"/>
    <w:semiHidden/>
    <w:unhideWhenUsed/>
    <w:rsid w:val="006D2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4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a.auth.gr/el/node/76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9353</Characters>
  <Application>Microsoft Office Word</Application>
  <DocSecurity>0</DocSecurity>
  <Lines>77</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alexatza</dc:creator>
  <cp:lastModifiedBy>Anastasia Stergiou</cp:lastModifiedBy>
  <cp:revision>2</cp:revision>
  <dcterms:created xsi:type="dcterms:W3CDTF">2024-09-20T11:46:00Z</dcterms:created>
  <dcterms:modified xsi:type="dcterms:W3CDTF">2024-09-20T11:46:00Z</dcterms:modified>
</cp:coreProperties>
</file>